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4DD848" w14:textId="77777777" w:rsidR="00B95583" w:rsidRDefault="0099648A">
      <w:pPr>
        <w:pStyle w:val="Title"/>
      </w:pPr>
      <w:r>
        <w:t>FROM</w:t>
      </w:r>
      <w:r>
        <w:rPr>
          <w:spacing w:val="-12"/>
        </w:rPr>
        <w:t xml:space="preserve"> </w:t>
      </w:r>
      <w:r>
        <w:t>THE</w:t>
      </w:r>
      <w:r>
        <w:rPr>
          <w:spacing w:val="-8"/>
        </w:rPr>
        <w:t xml:space="preserve"> </w:t>
      </w:r>
      <w:r>
        <w:t>BOTTOM</w:t>
      </w:r>
      <w:r>
        <w:rPr>
          <w:spacing w:val="-11"/>
        </w:rPr>
        <w:t xml:space="preserve"> </w:t>
      </w:r>
      <w:r>
        <w:rPr>
          <w:spacing w:val="-5"/>
        </w:rPr>
        <w:t>UP</w:t>
      </w:r>
    </w:p>
    <w:p w14:paraId="2D6EE8F8" w14:textId="77777777" w:rsidR="00B95583" w:rsidRDefault="00B95583">
      <w:pPr>
        <w:pStyle w:val="BodyText"/>
        <w:spacing w:before="1"/>
        <w:ind w:left="0"/>
        <w:jc w:val="left"/>
        <w:rPr>
          <w:rFonts w:ascii="Century Schoolbook"/>
          <w:b/>
          <w:sz w:val="52"/>
        </w:rPr>
      </w:pPr>
    </w:p>
    <w:p w14:paraId="12EC4F62" w14:textId="77777777" w:rsidR="00B95583" w:rsidRDefault="0099648A">
      <w:pPr>
        <w:spacing w:line="480" w:lineRule="auto"/>
        <w:ind w:left="850" w:right="847"/>
        <w:jc w:val="center"/>
        <w:rPr>
          <w:rFonts w:ascii="Century Schoolbook"/>
          <w:b/>
          <w:sz w:val="28"/>
        </w:rPr>
      </w:pPr>
      <w:r>
        <w:rPr>
          <w:rFonts w:ascii="Century Schoolbook"/>
          <w:b/>
          <w:sz w:val="28"/>
        </w:rPr>
        <w:t>How</w:t>
      </w:r>
      <w:r>
        <w:rPr>
          <w:rFonts w:ascii="Century Schoolbook"/>
          <w:b/>
          <w:spacing w:val="-6"/>
          <w:sz w:val="28"/>
        </w:rPr>
        <w:t xml:space="preserve"> </w:t>
      </w:r>
      <w:r>
        <w:rPr>
          <w:rFonts w:ascii="Century Schoolbook"/>
          <w:b/>
          <w:sz w:val="28"/>
        </w:rPr>
        <w:t>Recent</w:t>
      </w:r>
      <w:r>
        <w:rPr>
          <w:rFonts w:ascii="Century Schoolbook"/>
          <w:b/>
          <w:spacing w:val="-8"/>
          <w:sz w:val="28"/>
        </w:rPr>
        <w:t xml:space="preserve"> </w:t>
      </w:r>
      <w:r>
        <w:rPr>
          <w:rFonts w:ascii="Century Schoolbook"/>
          <w:b/>
          <w:sz w:val="28"/>
        </w:rPr>
        <w:t>Legislation</w:t>
      </w:r>
      <w:r>
        <w:rPr>
          <w:rFonts w:ascii="Century Schoolbook"/>
          <w:b/>
          <w:spacing w:val="-7"/>
          <w:sz w:val="28"/>
        </w:rPr>
        <w:t xml:space="preserve"> </w:t>
      </w:r>
      <w:r>
        <w:rPr>
          <w:rFonts w:ascii="Century Schoolbook"/>
          <w:b/>
          <w:sz w:val="28"/>
        </w:rPr>
        <w:t>Re-Writes</w:t>
      </w:r>
      <w:r>
        <w:rPr>
          <w:rFonts w:ascii="Century Schoolbook"/>
          <w:b/>
          <w:spacing w:val="-7"/>
          <w:sz w:val="28"/>
        </w:rPr>
        <w:t xml:space="preserve"> </w:t>
      </w:r>
      <w:r>
        <w:rPr>
          <w:rFonts w:ascii="Century Schoolbook"/>
          <w:b/>
          <w:sz w:val="28"/>
        </w:rPr>
        <w:t>Affordable</w:t>
      </w:r>
      <w:r>
        <w:rPr>
          <w:rFonts w:ascii="Century Schoolbook"/>
          <w:b/>
          <w:spacing w:val="-9"/>
          <w:sz w:val="28"/>
        </w:rPr>
        <w:t xml:space="preserve"> </w:t>
      </w:r>
      <w:r>
        <w:rPr>
          <w:rFonts w:ascii="Century Schoolbook"/>
          <w:b/>
          <w:sz w:val="28"/>
        </w:rPr>
        <w:t>Housing in New Jersey</w:t>
      </w:r>
    </w:p>
    <w:p w14:paraId="0EAE1B8D" w14:textId="77777777" w:rsidR="00B95583" w:rsidRDefault="0099648A">
      <w:pPr>
        <w:pStyle w:val="BodyText"/>
        <w:spacing w:before="7"/>
        <w:ind w:left="0"/>
        <w:jc w:val="left"/>
        <w:rPr>
          <w:rFonts w:ascii="Century Schoolbook"/>
          <w:b/>
          <w:sz w:val="19"/>
        </w:rPr>
      </w:pPr>
      <w:r>
        <w:rPr>
          <w:noProof/>
        </w:rPr>
        <w:drawing>
          <wp:anchor distT="0" distB="0" distL="0" distR="0" simplePos="0" relativeHeight="487587840" behindDoc="1" locked="0" layoutInCell="1" allowOverlap="1" wp14:anchorId="05321E87" wp14:editId="6EC9D305">
            <wp:simplePos x="0" y="0"/>
            <wp:positionH relativeFrom="page">
              <wp:posOffset>912875</wp:posOffset>
            </wp:positionH>
            <wp:positionV relativeFrom="paragraph">
              <wp:posOffset>165220</wp:posOffset>
            </wp:positionV>
            <wp:extent cx="5946635" cy="3965448"/>
            <wp:effectExtent l="0" t="0" r="0" b="0"/>
            <wp:wrapTopAndBottom/>
            <wp:docPr id="1" name="Image 1" descr="P3#y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P3#y1"/>
                    <pic:cNvPicPr/>
                  </pic:nvPicPr>
                  <pic:blipFill>
                    <a:blip r:embed="rId10" cstate="print"/>
                    <a:stretch>
                      <a:fillRect/>
                    </a:stretch>
                  </pic:blipFill>
                  <pic:spPr>
                    <a:xfrm>
                      <a:off x="0" y="0"/>
                      <a:ext cx="5946635" cy="3965448"/>
                    </a:xfrm>
                    <a:prstGeom prst="rect">
                      <a:avLst/>
                    </a:prstGeom>
                  </pic:spPr>
                </pic:pic>
              </a:graphicData>
            </a:graphic>
          </wp:anchor>
        </w:drawing>
      </w:r>
    </w:p>
    <w:p w14:paraId="4863A57F" w14:textId="6756189A" w:rsidR="00B95583" w:rsidRDefault="002F1436">
      <w:pPr>
        <w:pStyle w:val="Heading1"/>
        <w:spacing w:before="226"/>
        <w:ind w:left="847" w:right="847" w:firstLine="0"/>
        <w:jc w:val="center"/>
        <w:rPr>
          <w:rFonts w:ascii="Century Schoolbook"/>
        </w:rPr>
      </w:pPr>
      <w:r>
        <w:rPr>
          <w:rFonts w:ascii="Century Schoolbook"/>
        </w:rPr>
        <w:t>October 2024</w:t>
      </w:r>
    </w:p>
    <w:p w14:paraId="31D0D899" w14:textId="77777777" w:rsidR="00B95583" w:rsidRDefault="00B95583">
      <w:pPr>
        <w:pStyle w:val="BodyText"/>
        <w:ind w:left="0"/>
        <w:jc w:val="left"/>
        <w:rPr>
          <w:rFonts w:ascii="Century Schoolbook"/>
          <w:b/>
          <w:sz w:val="28"/>
        </w:rPr>
      </w:pPr>
    </w:p>
    <w:p w14:paraId="341228CB" w14:textId="77777777" w:rsidR="00B95583" w:rsidRDefault="00B95583">
      <w:pPr>
        <w:pStyle w:val="BodyText"/>
        <w:ind w:left="0"/>
        <w:jc w:val="left"/>
        <w:rPr>
          <w:rFonts w:ascii="Century Schoolbook"/>
          <w:b/>
          <w:sz w:val="28"/>
        </w:rPr>
      </w:pPr>
    </w:p>
    <w:p w14:paraId="37B3CAF7" w14:textId="77777777" w:rsidR="00B95583" w:rsidRDefault="0099648A">
      <w:pPr>
        <w:spacing w:before="192"/>
        <w:ind w:left="5431"/>
        <w:rPr>
          <w:b/>
          <w:sz w:val="28"/>
        </w:rPr>
      </w:pPr>
      <w:r>
        <w:rPr>
          <w:noProof/>
        </w:rPr>
        <w:drawing>
          <wp:anchor distT="0" distB="0" distL="0" distR="0" simplePos="0" relativeHeight="15729152" behindDoc="0" locked="0" layoutInCell="1" allowOverlap="1" wp14:anchorId="4FB14693" wp14:editId="5EED54A2">
            <wp:simplePos x="0" y="0"/>
            <wp:positionH relativeFrom="page">
              <wp:posOffset>1640204</wp:posOffset>
            </wp:positionH>
            <wp:positionV relativeFrom="paragraph">
              <wp:posOffset>47489</wp:posOffset>
            </wp:positionV>
            <wp:extent cx="1723865" cy="1307806"/>
            <wp:effectExtent l="0" t="0" r="0" b="0"/>
            <wp:wrapNone/>
            <wp:docPr id="2" name="Image 2" descr="P14#y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descr="P14#y1"/>
                    <pic:cNvPicPr/>
                  </pic:nvPicPr>
                  <pic:blipFill>
                    <a:blip r:embed="rId11" cstate="print"/>
                    <a:stretch>
                      <a:fillRect/>
                    </a:stretch>
                  </pic:blipFill>
                  <pic:spPr>
                    <a:xfrm>
                      <a:off x="0" y="0"/>
                      <a:ext cx="1723865" cy="1307806"/>
                    </a:xfrm>
                    <a:prstGeom prst="rect">
                      <a:avLst/>
                    </a:prstGeom>
                  </pic:spPr>
                </pic:pic>
              </a:graphicData>
            </a:graphic>
          </wp:anchor>
        </w:drawing>
      </w:r>
      <w:r>
        <w:rPr>
          <w:b/>
          <w:spacing w:val="-5"/>
          <w:sz w:val="28"/>
        </w:rPr>
        <w:t>BY:</w:t>
      </w:r>
    </w:p>
    <w:p w14:paraId="077E29B2" w14:textId="77777777" w:rsidR="00B95583" w:rsidRDefault="0099648A">
      <w:pPr>
        <w:spacing w:before="167" w:line="360" w:lineRule="auto"/>
        <w:ind w:left="5431" w:right="323"/>
        <w:rPr>
          <w:b/>
          <w:sz w:val="28"/>
        </w:rPr>
      </w:pPr>
      <w:r>
        <w:rPr>
          <w:b/>
          <w:sz w:val="28"/>
        </w:rPr>
        <w:t>Victoria</w:t>
      </w:r>
      <w:r>
        <w:rPr>
          <w:b/>
          <w:spacing w:val="-12"/>
          <w:sz w:val="28"/>
        </w:rPr>
        <w:t xml:space="preserve"> </w:t>
      </w:r>
      <w:r>
        <w:rPr>
          <w:b/>
          <w:sz w:val="28"/>
        </w:rPr>
        <w:t>D.</w:t>
      </w:r>
      <w:r>
        <w:rPr>
          <w:b/>
          <w:spacing w:val="-13"/>
          <w:sz w:val="28"/>
        </w:rPr>
        <w:t xml:space="preserve"> </w:t>
      </w:r>
      <w:r>
        <w:rPr>
          <w:b/>
          <w:sz w:val="28"/>
        </w:rPr>
        <w:t>Britton,</w:t>
      </w:r>
      <w:r>
        <w:rPr>
          <w:b/>
          <w:spacing w:val="-13"/>
          <w:sz w:val="28"/>
        </w:rPr>
        <w:t xml:space="preserve"> </w:t>
      </w:r>
      <w:r>
        <w:rPr>
          <w:b/>
          <w:sz w:val="28"/>
        </w:rPr>
        <w:t>Esq. Jason Hyndman, Esq.</w:t>
      </w:r>
    </w:p>
    <w:p w14:paraId="0E123B7A" w14:textId="77777777" w:rsidR="00B95583" w:rsidRDefault="0099648A">
      <w:pPr>
        <w:spacing w:before="1"/>
        <w:ind w:left="5431"/>
        <w:rPr>
          <w:b/>
          <w:sz w:val="28"/>
        </w:rPr>
      </w:pPr>
      <w:r>
        <w:rPr>
          <w:b/>
          <w:sz w:val="28"/>
        </w:rPr>
        <w:t>Edward</w:t>
      </w:r>
      <w:r>
        <w:rPr>
          <w:b/>
          <w:spacing w:val="-6"/>
          <w:sz w:val="28"/>
        </w:rPr>
        <w:t xml:space="preserve"> </w:t>
      </w:r>
      <w:r>
        <w:rPr>
          <w:b/>
          <w:sz w:val="28"/>
        </w:rPr>
        <w:t>W.</w:t>
      </w:r>
      <w:r>
        <w:rPr>
          <w:b/>
          <w:spacing w:val="-1"/>
          <w:sz w:val="28"/>
        </w:rPr>
        <w:t xml:space="preserve"> </w:t>
      </w:r>
      <w:r>
        <w:rPr>
          <w:b/>
          <w:sz w:val="28"/>
        </w:rPr>
        <w:t>Purcell,</w:t>
      </w:r>
      <w:r>
        <w:rPr>
          <w:b/>
          <w:spacing w:val="-3"/>
          <w:sz w:val="28"/>
        </w:rPr>
        <w:t xml:space="preserve"> </w:t>
      </w:r>
      <w:r>
        <w:rPr>
          <w:b/>
          <w:spacing w:val="-4"/>
          <w:sz w:val="28"/>
        </w:rPr>
        <w:t>Esq.</w:t>
      </w:r>
    </w:p>
    <w:p w14:paraId="6C80786E" w14:textId="77777777" w:rsidR="00B95583" w:rsidRDefault="00B95583">
      <w:pPr>
        <w:pStyle w:val="BodyText"/>
        <w:ind w:left="0"/>
        <w:jc w:val="left"/>
        <w:rPr>
          <w:b/>
          <w:sz w:val="34"/>
        </w:rPr>
      </w:pPr>
    </w:p>
    <w:p w14:paraId="17990E3F" w14:textId="77777777" w:rsidR="00B95583" w:rsidRDefault="00FA6D15">
      <w:pPr>
        <w:spacing w:before="236"/>
        <w:ind w:left="3780"/>
        <w:rPr>
          <w:rFonts w:ascii="Calibri"/>
          <w:b/>
        </w:rPr>
      </w:pPr>
      <w:hyperlink r:id="rId12">
        <w:r w:rsidR="0099648A">
          <w:rPr>
            <w:rFonts w:ascii="Calibri"/>
            <w:b/>
            <w:color w:val="001F5F"/>
            <w:spacing w:val="-2"/>
            <w:u w:val="single" w:color="001F5F"/>
          </w:rPr>
          <w:t>www.pricemeese.com</w:t>
        </w:r>
      </w:hyperlink>
    </w:p>
    <w:p w14:paraId="65C44B25" w14:textId="77777777" w:rsidR="00B95583" w:rsidRDefault="0099648A">
      <w:pPr>
        <w:ind w:left="4113"/>
        <w:rPr>
          <w:rFonts w:ascii="Calibri"/>
          <w:b/>
        </w:rPr>
      </w:pPr>
      <w:r>
        <w:rPr>
          <w:rFonts w:ascii="Calibri"/>
          <w:b/>
          <w:color w:val="001F5F"/>
        </w:rPr>
        <w:t>(201)</w:t>
      </w:r>
      <w:r>
        <w:rPr>
          <w:rFonts w:ascii="Calibri"/>
          <w:b/>
          <w:color w:val="001F5F"/>
          <w:spacing w:val="-10"/>
        </w:rPr>
        <w:t xml:space="preserve"> </w:t>
      </w:r>
      <w:r>
        <w:rPr>
          <w:rFonts w:ascii="Calibri"/>
          <w:b/>
          <w:color w:val="001F5F"/>
        </w:rPr>
        <w:t>391-</w:t>
      </w:r>
      <w:r>
        <w:rPr>
          <w:rFonts w:ascii="Calibri"/>
          <w:b/>
          <w:color w:val="001F5F"/>
          <w:spacing w:val="-4"/>
        </w:rPr>
        <w:t>3737</w:t>
      </w:r>
    </w:p>
    <w:p w14:paraId="3683B67D" w14:textId="77777777" w:rsidR="00B95583" w:rsidRDefault="00B95583">
      <w:pPr>
        <w:rPr>
          <w:rFonts w:ascii="Calibri"/>
        </w:rPr>
        <w:sectPr w:rsidR="00B95583">
          <w:type w:val="continuous"/>
          <w:pgSz w:w="12240" w:h="15840"/>
          <w:pgMar w:top="1360" w:right="1320" w:bottom="280" w:left="1320" w:header="720" w:footer="720" w:gutter="0"/>
          <w:cols w:space="720"/>
        </w:sectPr>
      </w:pPr>
    </w:p>
    <w:p w14:paraId="75FCB066" w14:textId="77777777" w:rsidR="00B95583" w:rsidRDefault="0099648A">
      <w:pPr>
        <w:pStyle w:val="BodyText"/>
        <w:spacing w:before="81" w:line="480" w:lineRule="auto"/>
        <w:ind w:left="119" w:right="116" w:firstLine="720"/>
      </w:pPr>
      <w:r>
        <w:lastRenderedPageBreak/>
        <w:t>On March 20, 2024, Governor Murphy approved legislation to streamline the process for municipalities to comply with the Mount Laurel Doctrine-i.e. the State’s Constitutional mandate that each municipality is obligated to affirmatively create a realistic opportunity for the development of sufficient low and moderate income housing. The legislation, assembly bill A-4 (“A-4”) made significant changes to the Fair</w:t>
      </w:r>
      <w:r>
        <w:rPr>
          <w:spacing w:val="-12"/>
        </w:rPr>
        <w:t xml:space="preserve"> </w:t>
      </w:r>
      <w:r>
        <w:t>Housing</w:t>
      </w:r>
      <w:r>
        <w:rPr>
          <w:spacing w:val="-11"/>
        </w:rPr>
        <w:t xml:space="preserve"> </w:t>
      </w:r>
      <w:r>
        <w:t>Act</w:t>
      </w:r>
      <w:r>
        <w:rPr>
          <w:spacing w:val="-9"/>
        </w:rPr>
        <w:t xml:space="preserve"> </w:t>
      </w:r>
      <w:r>
        <w:t>(“FHA”).</w:t>
      </w:r>
      <w:r>
        <w:rPr>
          <w:spacing w:val="-11"/>
        </w:rPr>
        <w:t xml:space="preserve"> </w:t>
      </w:r>
      <w:r>
        <w:t>These</w:t>
      </w:r>
      <w:r>
        <w:rPr>
          <w:spacing w:val="-12"/>
        </w:rPr>
        <w:t xml:space="preserve"> </w:t>
      </w:r>
      <w:r>
        <w:t>changes</w:t>
      </w:r>
      <w:r>
        <w:rPr>
          <w:spacing w:val="-10"/>
        </w:rPr>
        <w:t xml:space="preserve"> </w:t>
      </w:r>
      <w:r>
        <w:t>are</w:t>
      </w:r>
      <w:r>
        <w:rPr>
          <w:spacing w:val="-12"/>
        </w:rPr>
        <w:t xml:space="preserve"> </w:t>
      </w:r>
      <w:r>
        <w:t>going</w:t>
      </w:r>
      <w:r>
        <w:rPr>
          <w:spacing w:val="-11"/>
        </w:rPr>
        <w:t xml:space="preserve"> </w:t>
      </w:r>
      <w:r>
        <w:t>into</w:t>
      </w:r>
      <w:r>
        <w:rPr>
          <w:spacing w:val="-12"/>
        </w:rPr>
        <w:t xml:space="preserve"> </w:t>
      </w:r>
      <w:r>
        <w:t>effect</w:t>
      </w:r>
      <w:r>
        <w:rPr>
          <w:spacing w:val="-11"/>
        </w:rPr>
        <w:t xml:space="preserve"> </w:t>
      </w:r>
      <w:r>
        <w:t>just</w:t>
      </w:r>
      <w:r>
        <w:rPr>
          <w:spacing w:val="-11"/>
        </w:rPr>
        <w:t xml:space="preserve"> </w:t>
      </w:r>
      <w:r>
        <w:t>before</w:t>
      </w:r>
      <w:r>
        <w:rPr>
          <w:spacing w:val="-12"/>
        </w:rPr>
        <w:t xml:space="preserve"> </w:t>
      </w:r>
      <w:r>
        <w:t>the</w:t>
      </w:r>
      <w:r>
        <w:rPr>
          <w:spacing w:val="-12"/>
        </w:rPr>
        <w:t xml:space="preserve"> </w:t>
      </w:r>
      <w:r>
        <w:t>new</w:t>
      </w:r>
      <w:r>
        <w:rPr>
          <w:spacing w:val="-11"/>
        </w:rPr>
        <w:t xml:space="preserve"> </w:t>
      </w:r>
      <w:r>
        <w:t>ten</w:t>
      </w:r>
    </w:p>
    <w:p w14:paraId="7A0834D5" w14:textId="77777777" w:rsidR="00B95583" w:rsidRDefault="0099648A">
      <w:pPr>
        <w:pStyle w:val="BodyText"/>
        <w:spacing w:before="1" w:line="480" w:lineRule="auto"/>
        <w:ind w:left="119" w:right="116"/>
      </w:pPr>
      <w:r>
        <w:t>(10) year municipal compliance round, the 4</w:t>
      </w:r>
      <w:proofErr w:type="spellStart"/>
      <w:r>
        <w:rPr>
          <w:position w:val="6"/>
          <w:sz w:val="16"/>
        </w:rPr>
        <w:t>th</w:t>
      </w:r>
      <w:proofErr w:type="spellEnd"/>
      <w:r>
        <w:rPr>
          <w:spacing w:val="40"/>
          <w:position w:val="6"/>
          <w:sz w:val="16"/>
        </w:rPr>
        <w:t xml:space="preserve"> </w:t>
      </w:r>
      <w:r>
        <w:t>round, is set to begin in 2025. A-4 represents a substantial revision of the statutory framework enacted to ensure compliance with the Mount Laurel Doctrine.</w:t>
      </w:r>
      <w:r>
        <w:rPr>
          <w:spacing w:val="40"/>
        </w:rPr>
        <w:t xml:space="preserve"> </w:t>
      </w:r>
      <w:r>
        <w:t>Importantly, A-4 clarifies the methodology for quantifying municipal fair share obligations, i.e. their present and prospective need for the creation of affordable housing. It also significantly revises how bonus credits are calculated and provides new incentives for additional types of housing, including family units, redevelopment and supportive housing. It also completely reworks the process by which municipalities can obtain immunity from “builder’s remedy” lawsuits – i.e. exclusionary development lawsuits brought by developers</w:t>
      </w:r>
      <w:r>
        <w:rPr>
          <w:spacing w:val="-1"/>
        </w:rPr>
        <w:t xml:space="preserve"> </w:t>
      </w:r>
      <w:r>
        <w:t>to</w:t>
      </w:r>
      <w:r>
        <w:rPr>
          <w:spacing w:val="-1"/>
        </w:rPr>
        <w:t xml:space="preserve"> </w:t>
      </w:r>
      <w:r>
        <w:t>effectively set aside a municipality’s</w:t>
      </w:r>
      <w:r>
        <w:rPr>
          <w:spacing w:val="-1"/>
        </w:rPr>
        <w:t xml:space="preserve"> </w:t>
      </w:r>
      <w:r>
        <w:t>zoning regulations</w:t>
      </w:r>
      <w:r>
        <w:rPr>
          <w:spacing w:val="-1"/>
        </w:rPr>
        <w:t xml:space="preserve"> </w:t>
      </w:r>
      <w:r>
        <w:t>applicable</w:t>
      </w:r>
      <w:r>
        <w:rPr>
          <w:spacing w:val="-1"/>
        </w:rPr>
        <w:t xml:space="preserve"> </w:t>
      </w:r>
      <w:r>
        <w:t>to</w:t>
      </w:r>
      <w:r>
        <w:rPr>
          <w:spacing w:val="-1"/>
        </w:rPr>
        <w:t xml:space="preserve"> </w:t>
      </w:r>
      <w:r>
        <w:t>a site, so that affordable housing may be constructed there.</w:t>
      </w:r>
    </w:p>
    <w:p w14:paraId="27DFD248" w14:textId="77777777" w:rsidR="00B95583" w:rsidRDefault="0099648A">
      <w:pPr>
        <w:pStyle w:val="BodyText"/>
        <w:spacing w:line="480" w:lineRule="auto"/>
        <w:ind w:left="119" w:right="119" w:firstLine="787"/>
      </w:pPr>
      <w:r>
        <w:t>With</w:t>
      </w:r>
      <w:r>
        <w:rPr>
          <w:spacing w:val="-2"/>
        </w:rPr>
        <w:t xml:space="preserve"> </w:t>
      </w:r>
      <w:r>
        <w:t>respect</w:t>
      </w:r>
      <w:r>
        <w:rPr>
          <w:spacing w:val="-1"/>
        </w:rPr>
        <w:t xml:space="preserve"> </w:t>
      </w:r>
      <w:r>
        <w:t>to</w:t>
      </w:r>
      <w:r>
        <w:rPr>
          <w:spacing w:val="-2"/>
        </w:rPr>
        <w:t xml:space="preserve"> </w:t>
      </w:r>
      <w:r>
        <w:t>process,</w:t>
      </w:r>
      <w:r>
        <w:rPr>
          <w:spacing w:val="-1"/>
        </w:rPr>
        <w:t xml:space="preserve"> </w:t>
      </w:r>
      <w:r>
        <w:t>A-4</w:t>
      </w:r>
      <w:r>
        <w:rPr>
          <w:spacing w:val="-1"/>
        </w:rPr>
        <w:t xml:space="preserve"> </w:t>
      </w:r>
      <w:r>
        <w:t>abolished</w:t>
      </w:r>
      <w:r>
        <w:rPr>
          <w:spacing w:val="-3"/>
        </w:rPr>
        <w:t xml:space="preserve"> </w:t>
      </w:r>
      <w:r>
        <w:t>the</w:t>
      </w:r>
      <w:r>
        <w:rPr>
          <w:spacing w:val="-2"/>
        </w:rPr>
        <w:t xml:space="preserve"> </w:t>
      </w:r>
      <w:r>
        <w:t>long</w:t>
      </w:r>
      <w:r>
        <w:rPr>
          <w:spacing w:val="-1"/>
        </w:rPr>
        <w:t xml:space="preserve"> </w:t>
      </w:r>
      <w:r>
        <w:t>defunct</w:t>
      </w:r>
      <w:r>
        <w:rPr>
          <w:spacing w:val="-1"/>
        </w:rPr>
        <w:t xml:space="preserve"> </w:t>
      </w:r>
      <w:r>
        <w:t>Council</w:t>
      </w:r>
      <w:r>
        <w:rPr>
          <w:spacing w:val="-3"/>
        </w:rPr>
        <w:t xml:space="preserve"> </w:t>
      </w:r>
      <w:r>
        <w:t>on</w:t>
      </w:r>
      <w:r>
        <w:rPr>
          <w:spacing w:val="-2"/>
        </w:rPr>
        <w:t xml:space="preserve"> </w:t>
      </w:r>
      <w:r>
        <w:t>Affordable Housing (“COAH”) – the State agency previously tasked with the administration of affordable housing. Rather than proceed through COAH, municipalities which wish to</w:t>
      </w:r>
      <w:r>
        <w:rPr>
          <w:spacing w:val="5"/>
        </w:rPr>
        <w:t xml:space="preserve"> </w:t>
      </w:r>
      <w:r>
        <w:t>retain</w:t>
      </w:r>
      <w:r>
        <w:rPr>
          <w:spacing w:val="7"/>
        </w:rPr>
        <w:t xml:space="preserve"> </w:t>
      </w:r>
      <w:r>
        <w:t>their</w:t>
      </w:r>
      <w:r>
        <w:rPr>
          <w:spacing w:val="9"/>
        </w:rPr>
        <w:t xml:space="preserve"> </w:t>
      </w:r>
      <w:r>
        <w:t>immunity</w:t>
      </w:r>
      <w:r>
        <w:rPr>
          <w:spacing w:val="8"/>
        </w:rPr>
        <w:t xml:space="preserve"> </w:t>
      </w:r>
      <w:r>
        <w:t>from</w:t>
      </w:r>
      <w:r>
        <w:rPr>
          <w:spacing w:val="8"/>
        </w:rPr>
        <w:t xml:space="preserve"> </w:t>
      </w:r>
      <w:r>
        <w:t>builder’s</w:t>
      </w:r>
      <w:r>
        <w:rPr>
          <w:spacing w:val="7"/>
        </w:rPr>
        <w:t xml:space="preserve"> </w:t>
      </w:r>
      <w:r>
        <w:t>remedy</w:t>
      </w:r>
      <w:r>
        <w:rPr>
          <w:spacing w:val="8"/>
        </w:rPr>
        <w:t xml:space="preserve"> </w:t>
      </w:r>
      <w:r>
        <w:t>lawsuits</w:t>
      </w:r>
      <w:r>
        <w:rPr>
          <w:spacing w:val="7"/>
        </w:rPr>
        <w:t xml:space="preserve"> </w:t>
      </w:r>
      <w:r>
        <w:t>must</w:t>
      </w:r>
      <w:r>
        <w:rPr>
          <w:spacing w:val="8"/>
        </w:rPr>
        <w:t xml:space="preserve"> </w:t>
      </w:r>
      <w:r>
        <w:t>either</w:t>
      </w:r>
      <w:r>
        <w:rPr>
          <w:spacing w:val="7"/>
        </w:rPr>
        <w:t xml:space="preserve"> </w:t>
      </w:r>
      <w:r>
        <w:t>proceed</w:t>
      </w:r>
      <w:r>
        <w:rPr>
          <w:spacing w:val="7"/>
        </w:rPr>
        <w:t xml:space="preserve"> </w:t>
      </w:r>
      <w:r>
        <w:rPr>
          <w:spacing w:val="-2"/>
        </w:rPr>
        <w:t>before</w:t>
      </w:r>
    </w:p>
    <w:p w14:paraId="5092D438" w14:textId="77777777" w:rsidR="00B95583" w:rsidRDefault="00B95583">
      <w:pPr>
        <w:spacing w:line="480" w:lineRule="auto"/>
        <w:sectPr w:rsidR="00B95583">
          <w:footerReference w:type="default" r:id="rId13"/>
          <w:pgSz w:w="12240" w:h="15840"/>
          <w:pgMar w:top="1360" w:right="1320" w:bottom="1260" w:left="1320" w:header="0" w:footer="1063" w:gutter="0"/>
          <w:pgNumType w:start="1"/>
          <w:cols w:space="720"/>
        </w:sectPr>
      </w:pPr>
    </w:p>
    <w:p w14:paraId="2BE44DCC" w14:textId="77777777" w:rsidR="00B95583" w:rsidRDefault="0099648A">
      <w:pPr>
        <w:pStyle w:val="BodyText"/>
        <w:spacing w:before="81" w:line="480" w:lineRule="auto"/>
        <w:jc w:val="left"/>
      </w:pPr>
      <w:r>
        <w:lastRenderedPageBreak/>
        <w:t>a</w:t>
      </w:r>
      <w:r>
        <w:rPr>
          <w:spacing w:val="-5"/>
        </w:rPr>
        <w:t xml:space="preserve"> </w:t>
      </w:r>
      <w:r>
        <w:t>dispute</w:t>
      </w:r>
      <w:r>
        <w:rPr>
          <w:spacing w:val="-6"/>
        </w:rPr>
        <w:t xml:space="preserve"> </w:t>
      </w:r>
      <w:r>
        <w:t>resolution</w:t>
      </w:r>
      <w:r>
        <w:rPr>
          <w:spacing w:val="-7"/>
        </w:rPr>
        <w:t xml:space="preserve"> </w:t>
      </w:r>
      <w:r>
        <w:t>process</w:t>
      </w:r>
      <w:r>
        <w:rPr>
          <w:spacing w:val="-7"/>
        </w:rPr>
        <w:t xml:space="preserve"> </w:t>
      </w:r>
      <w:r>
        <w:t>the</w:t>
      </w:r>
      <w:r>
        <w:rPr>
          <w:spacing w:val="-6"/>
        </w:rPr>
        <w:t xml:space="preserve"> </w:t>
      </w:r>
      <w:r>
        <w:t>“Program”</w:t>
      </w:r>
      <w:r>
        <w:rPr>
          <w:spacing w:val="-9"/>
        </w:rPr>
        <w:t xml:space="preserve"> </w:t>
      </w:r>
      <w:r>
        <w:t>(and</w:t>
      </w:r>
      <w:r>
        <w:rPr>
          <w:spacing w:val="-7"/>
        </w:rPr>
        <w:t xml:space="preserve"> </w:t>
      </w:r>
      <w:r>
        <w:t>be</w:t>
      </w:r>
      <w:r>
        <w:rPr>
          <w:spacing w:val="-6"/>
        </w:rPr>
        <w:t xml:space="preserve"> </w:t>
      </w:r>
      <w:r>
        <w:t>subject</w:t>
      </w:r>
      <w:r>
        <w:rPr>
          <w:spacing w:val="-9"/>
        </w:rPr>
        <w:t xml:space="preserve"> </w:t>
      </w:r>
      <w:r>
        <w:t>to</w:t>
      </w:r>
      <w:r>
        <w:rPr>
          <w:spacing w:val="-6"/>
        </w:rPr>
        <w:t xml:space="preserve"> </w:t>
      </w:r>
      <w:r>
        <w:t>very</w:t>
      </w:r>
      <w:r>
        <w:rPr>
          <w:spacing w:val="-6"/>
        </w:rPr>
        <w:t xml:space="preserve"> </w:t>
      </w:r>
      <w:r>
        <w:t>tight</w:t>
      </w:r>
      <w:r>
        <w:rPr>
          <w:spacing w:val="-6"/>
        </w:rPr>
        <w:t xml:space="preserve"> </w:t>
      </w:r>
      <w:r>
        <w:t>deadlines)</w:t>
      </w:r>
      <w:r>
        <w:rPr>
          <w:spacing w:val="-7"/>
        </w:rPr>
        <w:t xml:space="preserve"> </w:t>
      </w:r>
      <w:r>
        <w:t>or obtain a declaratory judgement from a county level housing judge.</w:t>
      </w:r>
    </w:p>
    <w:p w14:paraId="708962B3" w14:textId="77777777" w:rsidR="00B95583" w:rsidRDefault="0099648A">
      <w:pPr>
        <w:pStyle w:val="Heading1"/>
        <w:numPr>
          <w:ilvl w:val="0"/>
          <w:numId w:val="2"/>
        </w:numPr>
        <w:tabs>
          <w:tab w:val="left" w:pos="1199"/>
        </w:tabs>
        <w:spacing w:before="0"/>
        <w:ind w:left="1199" w:hanging="719"/>
        <w:jc w:val="left"/>
      </w:pPr>
      <w:r>
        <w:t>The</w:t>
      </w:r>
      <w:r>
        <w:rPr>
          <w:spacing w:val="-9"/>
        </w:rPr>
        <w:t xml:space="preserve"> </w:t>
      </w:r>
      <w:r>
        <w:t>Process:</w:t>
      </w:r>
      <w:r>
        <w:rPr>
          <w:spacing w:val="-9"/>
        </w:rPr>
        <w:t xml:space="preserve"> </w:t>
      </w:r>
      <w:r>
        <w:t>The</w:t>
      </w:r>
      <w:r>
        <w:rPr>
          <w:spacing w:val="-8"/>
        </w:rPr>
        <w:t xml:space="preserve"> </w:t>
      </w:r>
      <w:r>
        <w:t>“Program”</w:t>
      </w:r>
      <w:r>
        <w:rPr>
          <w:spacing w:val="-9"/>
        </w:rPr>
        <w:t xml:space="preserve"> </w:t>
      </w:r>
      <w:r>
        <w:t>&amp;</w:t>
      </w:r>
      <w:r>
        <w:rPr>
          <w:spacing w:val="-8"/>
        </w:rPr>
        <w:t xml:space="preserve"> </w:t>
      </w:r>
      <w:r>
        <w:t>County</w:t>
      </w:r>
      <w:r>
        <w:rPr>
          <w:spacing w:val="-8"/>
        </w:rPr>
        <w:t xml:space="preserve"> </w:t>
      </w:r>
      <w:r>
        <w:t>Level</w:t>
      </w:r>
      <w:r>
        <w:rPr>
          <w:spacing w:val="-7"/>
        </w:rPr>
        <w:t xml:space="preserve"> </w:t>
      </w:r>
      <w:r>
        <w:t>Housing</w:t>
      </w:r>
      <w:r>
        <w:rPr>
          <w:spacing w:val="-8"/>
        </w:rPr>
        <w:t xml:space="preserve"> </w:t>
      </w:r>
      <w:r>
        <w:rPr>
          <w:spacing w:val="-2"/>
        </w:rPr>
        <w:t>Judges</w:t>
      </w:r>
    </w:p>
    <w:p w14:paraId="619C53D4" w14:textId="77777777" w:rsidR="00B95583" w:rsidRDefault="00B95583" w:rsidP="004E2F5C">
      <w:pPr>
        <w:pStyle w:val="BodyText"/>
        <w:spacing w:before="3"/>
        <w:ind w:left="0"/>
        <w:rPr>
          <w:b/>
          <w:sz w:val="37"/>
        </w:rPr>
      </w:pPr>
    </w:p>
    <w:p w14:paraId="4548CDF2" w14:textId="77777777" w:rsidR="00B95583" w:rsidRDefault="0099648A" w:rsidP="004E2F5C">
      <w:pPr>
        <w:pStyle w:val="BodyText"/>
        <w:spacing w:line="480" w:lineRule="auto"/>
        <w:ind w:right="116" w:firstLine="720"/>
      </w:pPr>
      <w:r>
        <w:t>A-4 creates a dual track for municipalities to obtain immunity from exclusionary development lawsuits – the Program and the county level housing judges.</w:t>
      </w:r>
      <w:r>
        <w:rPr>
          <w:spacing w:val="40"/>
        </w:rPr>
        <w:t xml:space="preserve"> </w:t>
      </w:r>
      <w:r>
        <w:t>The Program will be managed by the Administrative Office of the Courts (“AOC”) and will resolve disputes related to municipal fair share obligations and mediate disputes regarding whether a municipality’s Housing Element and Fair Share Plans (“HEFSP”) meets its affordable housing obligations. Because there are strict</w:t>
      </w:r>
      <w:r>
        <w:rPr>
          <w:spacing w:val="-13"/>
        </w:rPr>
        <w:t xml:space="preserve"> </w:t>
      </w:r>
      <w:r>
        <w:t>deadlines</w:t>
      </w:r>
      <w:r>
        <w:rPr>
          <w:spacing w:val="-17"/>
        </w:rPr>
        <w:t xml:space="preserve"> </w:t>
      </w:r>
      <w:r>
        <w:t>which</w:t>
      </w:r>
      <w:r>
        <w:rPr>
          <w:spacing w:val="-14"/>
        </w:rPr>
        <w:t xml:space="preserve"> </w:t>
      </w:r>
      <w:r>
        <w:t>direct</w:t>
      </w:r>
      <w:r>
        <w:rPr>
          <w:spacing w:val="-16"/>
        </w:rPr>
        <w:t xml:space="preserve"> </w:t>
      </w:r>
      <w:r>
        <w:t>how</w:t>
      </w:r>
      <w:r>
        <w:rPr>
          <w:spacing w:val="-15"/>
        </w:rPr>
        <w:t xml:space="preserve"> </w:t>
      </w:r>
      <w:r>
        <w:t>the</w:t>
      </w:r>
      <w:r>
        <w:rPr>
          <w:spacing w:val="-16"/>
        </w:rPr>
        <w:t xml:space="preserve"> </w:t>
      </w:r>
      <w:r>
        <w:t>Program</w:t>
      </w:r>
      <w:r>
        <w:rPr>
          <w:spacing w:val="-16"/>
        </w:rPr>
        <w:t xml:space="preserve"> </w:t>
      </w:r>
      <w:r>
        <w:t>operates,</w:t>
      </w:r>
      <w:r>
        <w:rPr>
          <w:spacing w:val="-15"/>
        </w:rPr>
        <w:t xml:space="preserve"> </w:t>
      </w:r>
      <w:r>
        <w:t>it</w:t>
      </w:r>
      <w:r>
        <w:rPr>
          <w:spacing w:val="-16"/>
        </w:rPr>
        <w:t xml:space="preserve"> </w:t>
      </w:r>
      <w:r>
        <w:t>is</w:t>
      </w:r>
      <w:r>
        <w:rPr>
          <w:spacing w:val="-17"/>
        </w:rPr>
        <w:t xml:space="preserve"> </w:t>
      </w:r>
      <w:r>
        <w:t>important</w:t>
      </w:r>
      <w:r>
        <w:rPr>
          <w:spacing w:val="-16"/>
        </w:rPr>
        <w:t xml:space="preserve"> </w:t>
      </w:r>
      <w:r>
        <w:t>to</w:t>
      </w:r>
      <w:r>
        <w:rPr>
          <w:spacing w:val="-16"/>
        </w:rPr>
        <w:t xml:space="preserve"> </w:t>
      </w:r>
      <w:r>
        <w:t>understand those deadlines before we analyze the substance of how the Program will decide on municipal obligations and mediate HEFSP disputes.</w:t>
      </w:r>
    </w:p>
    <w:p w14:paraId="1511A644" w14:textId="77777777" w:rsidR="00B95583" w:rsidRDefault="0099648A">
      <w:pPr>
        <w:pStyle w:val="BodyText"/>
        <w:spacing w:before="159"/>
        <w:ind w:left="480"/>
      </w:pPr>
      <w:r>
        <w:t>Those</w:t>
      </w:r>
      <w:r>
        <w:rPr>
          <w:spacing w:val="-2"/>
        </w:rPr>
        <w:t xml:space="preserve"> </w:t>
      </w:r>
      <w:r>
        <w:t>dates</w:t>
      </w:r>
      <w:r>
        <w:rPr>
          <w:spacing w:val="-2"/>
        </w:rPr>
        <w:t xml:space="preserve"> </w:t>
      </w:r>
      <w:r>
        <w:t>are</w:t>
      </w:r>
      <w:r>
        <w:rPr>
          <w:spacing w:val="-1"/>
        </w:rPr>
        <w:t xml:space="preserve"> </w:t>
      </w:r>
      <w:r>
        <w:t>as</w:t>
      </w:r>
      <w:r>
        <w:rPr>
          <w:spacing w:val="-2"/>
        </w:rPr>
        <w:t xml:space="preserve"> follows:</w:t>
      </w:r>
    </w:p>
    <w:p w14:paraId="61244103" w14:textId="77777777" w:rsidR="00B95583" w:rsidRDefault="00B95583">
      <w:pPr>
        <w:pStyle w:val="BodyText"/>
        <w:spacing w:before="6"/>
        <w:ind w:left="0"/>
        <w:jc w:val="left"/>
        <w:rPr>
          <w:sz w:val="37"/>
        </w:rPr>
      </w:pPr>
    </w:p>
    <w:p w14:paraId="46DF06C7" w14:textId="1CF13BB0" w:rsidR="00B95583" w:rsidRDefault="0099648A">
      <w:pPr>
        <w:pStyle w:val="ListParagraph"/>
        <w:numPr>
          <w:ilvl w:val="0"/>
          <w:numId w:val="1"/>
        </w:numPr>
        <w:tabs>
          <w:tab w:val="left" w:pos="1179"/>
        </w:tabs>
        <w:spacing w:line="480" w:lineRule="auto"/>
        <w:ind w:right="115" w:firstLine="720"/>
        <w:jc w:val="both"/>
        <w:rPr>
          <w:sz w:val="24"/>
        </w:rPr>
      </w:pPr>
      <w:r>
        <w:rPr>
          <w:sz w:val="24"/>
        </w:rPr>
        <w:t>With respect to fair share obligations, A-4 direct</w:t>
      </w:r>
      <w:r w:rsidR="002F1436">
        <w:rPr>
          <w:sz w:val="24"/>
        </w:rPr>
        <w:t>ed</w:t>
      </w:r>
      <w:r>
        <w:rPr>
          <w:sz w:val="24"/>
        </w:rPr>
        <w:t xml:space="preserve"> the Department of Community Affairs (“DCA”) </w:t>
      </w:r>
      <w:r w:rsidR="002F1436">
        <w:rPr>
          <w:sz w:val="24"/>
        </w:rPr>
        <w:t>to issue</w:t>
      </w:r>
      <w:r>
        <w:rPr>
          <w:sz w:val="24"/>
        </w:rPr>
        <w:t xml:space="preserve"> an advisory report on the present and prospective need obligations</w:t>
      </w:r>
      <w:r w:rsidR="008F7E12">
        <w:rPr>
          <w:sz w:val="24"/>
        </w:rPr>
        <w:t xml:space="preserve"> for the entire state</w:t>
      </w:r>
      <w:r w:rsidR="002F1436">
        <w:rPr>
          <w:sz w:val="24"/>
        </w:rPr>
        <w:t xml:space="preserve">.  This </w:t>
      </w:r>
      <w:r w:rsidR="00E93460">
        <w:rPr>
          <w:sz w:val="24"/>
        </w:rPr>
        <w:t xml:space="preserve">report </w:t>
      </w:r>
      <w:r w:rsidR="008F7E12">
        <w:rPr>
          <w:sz w:val="24"/>
        </w:rPr>
        <w:t xml:space="preserve">is now available </w:t>
      </w:r>
      <w:r w:rsidR="002F1436">
        <w:rPr>
          <w:sz w:val="24"/>
        </w:rPr>
        <w:t xml:space="preserve"> online</w:t>
      </w:r>
      <w:r w:rsidR="008F7E12">
        <w:rPr>
          <w:rStyle w:val="FootnoteReference"/>
          <w:sz w:val="24"/>
        </w:rPr>
        <w:footnoteReference w:id="1"/>
      </w:r>
      <w:r w:rsidR="008F7E12">
        <w:rPr>
          <w:sz w:val="24"/>
        </w:rPr>
        <w:t xml:space="preserve"> and has estimated a total present need obligation of 65,410 housing units and a total (uncapped) prospective need obligation of 84,698 housing units for the</w:t>
      </w:r>
      <w:r w:rsidR="004B4DD1">
        <w:rPr>
          <w:sz w:val="24"/>
        </w:rPr>
        <w:t xml:space="preserve"> 4</w:t>
      </w:r>
      <w:r w:rsidR="004B4DD1" w:rsidRPr="004B4DD1">
        <w:rPr>
          <w:sz w:val="24"/>
          <w:vertAlign w:val="superscript"/>
        </w:rPr>
        <w:t>th</w:t>
      </w:r>
      <w:r w:rsidR="004B4DD1">
        <w:rPr>
          <w:sz w:val="24"/>
        </w:rPr>
        <w:t xml:space="preserve"> round</w:t>
      </w:r>
      <w:r>
        <w:rPr>
          <w:sz w:val="24"/>
        </w:rPr>
        <w:t>. These calculations</w:t>
      </w:r>
      <w:r>
        <w:rPr>
          <w:spacing w:val="-11"/>
          <w:sz w:val="24"/>
        </w:rPr>
        <w:t xml:space="preserve"> </w:t>
      </w:r>
      <w:r>
        <w:rPr>
          <w:sz w:val="24"/>
        </w:rPr>
        <w:t>are</w:t>
      </w:r>
      <w:r>
        <w:rPr>
          <w:spacing w:val="-10"/>
          <w:sz w:val="24"/>
        </w:rPr>
        <w:t xml:space="preserve"> </w:t>
      </w:r>
      <w:r>
        <w:rPr>
          <w:sz w:val="24"/>
        </w:rPr>
        <w:t>not</w:t>
      </w:r>
      <w:r>
        <w:rPr>
          <w:spacing w:val="-8"/>
          <w:sz w:val="24"/>
        </w:rPr>
        <w:t xml:space="preserve"> </w:t>
      </w:r>
      <w:r>
        <w:rPr>
          <w:sz w:val="24"/>
        </w:rPr>
        <w:t>binding</w:t>
      </w:r>
      <w:r>
        <w:rPr>
          <w:spacing w:val="-9"/>
          <w:sz w:val="24"/>
        </w:rPr>
        <w:t xml:space="preserve"> </w:t>
      </w:r>
      <w:r>
        <w:rPr>
          <w:sz w:val="24"/>
        </w:rPr>
        <w:t>on</w:t>
      </w:r>
      <w:r>
        <w:rPr>
          <w:spacing w:val="-10"/>
          <w:sz w:val="24"/>
        </w:rPr>
        <w:t xml:space="preserve"> </w:t>
      </w:r>
      <w:r>
        <w:rPr>
          <w:sz w:val="24"/>
        </w:rPr>
        <w:t>municipalities</w:t>
      </w:r>
      <w:r>
        <w:rPr>
          <w:spacing w:val="-11"/>
          <w:sz w:val="24"/>
        </w:rPr>
        <w:t xml:space="preserve"> </w:t>
      </w:r>
      <w:r>
        <w:rPr>
          <w:sz w:val="24"/>
        </w:rPr>
        <w:t>or</w:t>
      </w:r>
      <w:r>
        <w:rPr>
          <w:spacing w:val="-11"/>
          <w:sz w:val="24"/>
        </w:rPr>
        <w:t xml:space="preserve"> </w:t>
      </w:r>
      <w:r>
        <w:rPr>
          <w:sz w:val="24"/>
        </w:rPr>
        <w:t>any</w:t>
      </w:r>
      <w:r>
        <w:rPr>
          <w:spacing w:val="-9"/>
          <w:sz w:val="24"/>
        </w:rPr>
        <w:t xml:space="preserve"> </w:t>
      </w:r>
      <w:r>
        <w:rPr>
          <w:sz w:val="24"/>
        </w:rPr>
        <w:t>other</w:t>
      </w:r>
      <w:r>
        <w:rPr>
          <w:spacing w:val="-11"/>
          <w:sz w:val="24"/>
        </w:rPr>
        <w:t xml:space="preserve"> </w:t>
      </w:r>
      <w:r>
        <w:rPr>
          <w:sz w:val="24"/>
        </w:rPr>
        <w:t>entity,</w:t>
      </w:r>
      <w:r>
        <w:rPr>
          <w:spacing w:val="-10"/>
          <w:sz w:val="24"/>
        </w:rPr>
        <w:t xml:space="preserve"> </w:t>
      </w:r>
      <w:r>
        <w:rPr>
          <w:sz w:val="24"/>
        </w:rPr>
        <w:t>and</w:t>
      </w:r>
      <w:r>
        <w:rPr>
          <w:spacing w:val="-11"/>
          <w:sz w:val="24"/>
        </w:rPr>
        <w:t xml:space="preserve"> </w:t>
      </w:r>
      <w:r>
        <w:rPr>
          <w:sz w:val="24"/>
        </w:rPr>
        <w:t>municipalities are free to determine their own present and prospective need calculations based on the updated methodology set forth in A-4.</w:t>
      </w:r>
    </w:p>
    <w:p w14:paraId="4C385B77" w14:textId="529C67CF" w:rsidR="00B95583" w:rsidRDefault="0099648A" w:rsidP="004E2F5C">
      <w:pPr>
        <w:pStyle w:val="ListParagraph"/>
        <w:numPr>
          <w:ilvl w:val="0"/>
          <w:numId w:val="1"/>
        </w:numPr>
        <w:tabs>
          <w:tab w:val="left" w:pos="1220"/>
        </w:tabs>
        <w:spacing w:before="81" w:line="480" w:lineRule="auto"/>
        <w:ind w:left="0" w:right="113" w:firstLine="720"/>
        <w:jc w:val="both"/>
      </w:pPr>
      <w:r>
        <w:rPr>
          <w:sz w:val="24"/>
        </w:rPr>
        <w:lastRenderedPageBreak/>
        <w:t>Municipalities participating in the Program must adopt resolutions establishing</w:t>
      </w:r>
      <w:r w:rsidRPr="004E2F5C">
        <w:rPr>
          <w:spacing w:val="24"/>
          <w:sz w:val="24"/>
        </w:rPr>
        <w:t xml:space="preserve"> </w:t>
      </w:r>
      <w:r>
        <w:rPr>
          <w:sz w:val="24"/>
        </w:rPr>
        <w:t>their</w:t>
      </w:r>
      <w:r w:rsidRPr="004E2F5C">
        <w:rPr>
          <w:spacing w:val="23"/>
          <w:sz w:val="24"/>
        </w:rPr>
        <w:t xml:space="preserve"> </w:t>
      </w:r>
      <w:r>
        <w:rPr>
          <w:sz w:val="24"/>
        </w:rPr>
        <w:t>4</w:t>
      </w:r>
      <w:proofErr w:type="spellStart"/>
      <w:r w:rsidRPr="004E2F5C">
        <w:rPr>
          <w:position w:val="6"/>
          <w:sz w:val="16"/>
        </w:rPr>
        <w:t>th</w:t>
      </w:r>
      <w:proofErr w:type="spellEnd"/>
      <w:r w:rsidRPr="004E2F5C">
        <w:rPr>
          <w:spacing w:val="40"/>
          <w:position w:val="6"/>
          <w:sz w:val="16"/>
        </w:rPr>
        <w:t xml:space="preserve"> </w:t>
      </w:r>
      <w:r>
        <w:rPr>
          <w:sz w:val="24"/>
        </w:rPr>
        <w:t>round</w:t>
      </w:r>
      <w:r w:rsidRPr="004E2F5C">
        <w:rPr>
          <w:spacing w:val="23"/>
          <w:sz w:val="24"/>
        </w:rPr>
        <w:t xml:space="preserve"> </w:t>
      </w:r>
      <w:r>
        <w:rPr>
          <w:sz w:val="24"/>
        </w:rPr>
        <w:t>fair</w:t>
      </w:r>
      <w:r w:rsidRPr="004E2F5C">
        <w:rPr>
          <w:spacing w:val="23"/>
          <w:sz w:val="24"/>
        </w:rPr>
        <w:t xml:space="preserve"> </w:t>
      </w:r>
      <w:r>
        <w:rPr>
          <w:sz w:val="24"/>
        </w:rPr>
        <w:t>share</w:t>
      </w:r>
      <w:r w:rsidRPr="004E2F5C">
        <w:rPr>
          <w:spacing w:val="23"/>
          <w:sz w:val="24"/>
        </w:rPr>
        <w:t xml:space="preserve"> </w:t>
      </w:r>
      <w:r>
        <w:rPr>
          <w:sz w:val="24"/>
        </w:rPr>
        <w:t>obligations</w:t>
      </w:r>
      <w:r w:rsidRPr="004E2F5C">
        <w:rPr>
          <w:spacing w:val="23"/>
          <w:sz w:val="24"/>
        </w:rPr>
        <w:t xml:space="preserve"> </w:t>
      </w:r>
      <w:r>
        <w:rPr>
          <w:sz w:val="24"/>
        </w:rPr>
        <w:t>no</w:t>
      </w:r>
      <w:r w:rsidRPr="004E2F5C">
        <w:rPr>
          <w:spacing w:val="23"/>
          <w:sz w:val="24"/>
        </w:rPr>
        <w:t xml:space="preserve"> </w:t>
      </w:r>
      <w:r>
        <w:rPr>
          <w:sz w:val="24"/>
        </w:rPr>
        <w:t>later</w:t>
      </w:r>
      <w:r w:rsidRPr="004E2F5C">
        <w:rPr>
          <w:spacing w:val="23"/>
          <w:sz w:val="24"/>
        </w:rPr>
        <w:t xml:space="preserve"> </w:t>
      </w:r>
      <w:r>
        <w:rPr>
          <w:sz w:val="24"/>
        </w:rPr>
        <w:t>than</w:t>
      </w:r>
      <w:r w:rsidRPr="004E2F5C">
        <w:rPr>
          <w:spacing w:val="18"/>
          <w:sz w:val="24"/>
        </w:rPr>
        <w:t xml:space="preserve"> </w:t>
      </w:r>
      <w:r w:rsidRPr="004E2F5C">
        <w:rPr>
          <w:b/>
          <w:sz w:val="24"/>
        </w:rPr>
        <w:t>January</w:t>
      </w:r>
      <w:r w:rsidRPr="004E2F5C">
        <w:rPr>
          <w:b/>
          <w:spacing w:val="24"/>
          <w:sz w:val="24"/>
        </w:rPr>
        <w:t xml:space="preserve"> </w:t>
      </w:r>
      <w:r w:rsidRPr="004E2F5C">
        <w:rPr>
          <w:b/>
          <w:sz w:val="24"/>
        </w:rPr>
        <w:t>31,</w:t>
      </w:r>
      <w:r w:rsidRPr="004E2F5C">
        <w:rPr>
          <w:b/>
          <w:spacing w:val="21"/>
          <w:sz w:val="24"/>
        </w:rPr>
        <w:t xml:space="preserve"> </w:t>
      </w:r>
      <w:r w:rsidRPr="004E2F5C">
        <w:rPr>
          <w:b/>
          <w:sz w:val="24"/>
        </w:rPr>
        <w:t>2025</w:t>
      </w:r>
      <w:r>
        <w:rPr>
          <w:sz w:val="24"/>
        </w:rPr>
        <w:t>.</w:t>
      </w:r>
      <w:r w:rsidR="004E2F5C">
        <w:rPr>
          <w:sz w:val="24"/>
        </w:rPr>
        <w:t xml:space="preserve"> </w:t>
      </w:r>
      <w:r>
        <w:t>Within</w:t>
      </w:r>
      <w:r w:rsidRPr="004E2F5C">
        <w:rPr>
          <w:spacing w:val="-15"/>
        </w:rPr>
        <w:t xml:space="preserve"> </w:t>
      </w:r>
      <w:r w:rsidRPr="00AF1F87">
        <w:rPr>
          <w:b/>
          <w:sz w:val="24"/>
          <w:szCs w:val="24"/>
        </w:rPr>
        <w:t>48</w:t>
      </w:r>
      <w:r w:rsidRPr="00AF1F87">
        <w:rPr>
          <w:b/>
          <w:spacing w:val="-14"/>
          <w:sz w:val="24"/>
          <w:szCs w:val="24"/>
        </w:rPr>
        <w:t xml:space="preserve"> </w:t>
      </w:r>
      <w:r w:rsidRPr="00AF1F87">
        <w:rPr>
          <w:b/>
          <w:sz w:val="24"/>
          <w:szCs w:val="24"/>
        </w:rPr>
        <w:t>hours</w:t>
      </w:r>
      <w:r w:rsidRPr="00AF1F87">
        <w:rPr>
          <w:b/>
          <w:spacing w:val="-13"/>
          <w:sz w:val="24"/>
          <w:szCs w:val="24"/>
        </w:rPr>
        <w:t xml:space="preserve"> </w:t>
      </w:r>
      <w:r>
        <w:t>of</w:t>
      </w:r>
      <w:r w:rsidRPr="004E2F5C">
        <w:rPr>
          <w:spacing w:val="-16"/>
        </w:rPr>
        <w:t xml:space="preserve"> </w:t>
      </w:r>
      <w:r>
        <w:t>adopting</w:t>
      </w:r>
      <w:r w:rsidRPr="004E2F5C">
        <w:rPr>
          <w:spacing w:val="-14"/>
        </w:rPr>
        <w:t xml:space="preserve"> </w:t>
      </w:r>
      <w:r>
        <w:t>such</w:t>
      </w:r>
      <w:r w:rsidRPr="004E2F5C">
        <w:rPr>
          <w:spacing w:val="-15"/>
        </w:rPr>
        <w:t xml:space="preserve"> </w:t>
      </w:r>
      <w:r>
        <w:t>a</w:t>
      </w:r>
      <w:r w:rsidRPr="004E2F5C">
        <w:rPr>
          <w:spacing w:val="-14"/>
        </w:rPr>
        <w:t xml:space="preserve"> </w:t>
      </w:r>
      <w:r>
        <w:t>resolution,</w:t>
      </w:r>
      <w:r w:rsidRPr="004E2F5C">
        <w:rPr>
          <w:spacing w:val="-14"/>
        </w:rPr>
        <w:t xml:space="preserve"> </w:t>
      </w:r>
      <w:r>
        <w:t>a</w:t>
      </w:r>
      <w:r w:rsidRPr="004E2F5C">
        <w:rPr>
          <w:spacing w:val="-14"/>
        </w:rPr>
        <w:t xml:space="preserve"> </w:t>
      </w:r>
      <w:r>
        <w:t>municipality</w:t>
      </w:r>
      <w:r w:rsidRPr="004E2F5C">
        <w:rPr>
          <w:spacing w:val="-14"/>
        </w:rPr>
        <w:t xml:space="preserve"> </w:t>
      </w:r>
      <w:r>
        <w:t>must</w:t>
      </w:r>
      <w:r w:rsidRPr="004E2F5C">
        <w:rPr>
          <w:spacing w:val="-15"/>
        </w:rPr>
        <w:t xml:space="preserve"> </w:t>
      </w:r>
      <w:r>
        <w:t>file</w:t>
      </w:r>
      <w:r w:rsidRPr="004E2F5C">
        <w:rPr>
          <w:spacing w:val="-15"/>
        </w:rPr>
        <w:t xml:space="preserve"> </w:t>
      </w:r>
      <w:r>
        <w:t>an</w:t>
      </w:r>
      <w:r w:rsidRPr="004E2F5C">
        <w:rPr>
          <w:spacing w:val="-15"/>
        </w:rPr>
        <w:t xml:space="preserve"> </w:t>
      </w:r>
      <w:r>
        <w:t>action</w:t>
      </w:r>
      <w:r w:rsidRPr="004E2F5C">
        <w:rPr>
          <w:spacing w:val="-15"/>
        </w:rPr>
        <w:t xml:space="preserve"> </w:t>
      </w:r>
      <w:r>
        <w:t>with the Program for approval of same.</w:t>
      </w:r>
    </w:p>
    <w:p w14:paraId="2919B0CF" w14:textId="77777777" w:rsidR="00B95583" w:rsidRDefault="0099648A" w:rsidP="004E2F5C">
      <w:pPr>
        <w:pStyle w:val="ListParagraph"/>
        <w:numPr>
          <w:ilvl w:val="0"/>
          <w:numId w:val="1"/>
        </w:numPr>
        <w:tabs>
          <w:tab w:val="left" w:pos="1097"/>
        </w:tabs>
        <w:spacing w:line="480" w:lineRule="auto"/>
        <w:ind w:right="118" w:firstLine="720"/>
        <w:jc w:val="both"/>
        <w:rPr>
          <w:sz w:val="24"/>
        </w:rPr>
      </w:pPr>
      <w:r>
        <w:rPr>
          <w:sz w:val="24"/>
        </w:rPr>
        <w:t>Interested</w:t>
      </w:r>
      <w:r>
        <w:rPr>
          <w:spacing w:val="-14"/>
          <w:sz w:val="24"/>
        </w:rPr>
        <w:t xml:space="preserve"> </w:t>
      </w:r>
      <w:r>
        <w:rPr>
          <w:sz w:val="24"/>
        </w:rPr>
        <w:t>parties</w:t>
      </w:r>
      <w:r>
        <w:rPr>
          <w:spacing w:val="-11"/>
          <w:sz w:val="24"/>
        </w:rPr>
        <w:t xml:space="preserve"> </w:t>
      </w:r>
      <w:r>
        <w:rPr>
          <w:sz w:val="24"/>
        </w:rPr>
        <w:t>must</w:t>
      </w:r>
      <w:r>
        <w:rPr>
          <w:spacing w:val="-12"/>
          <w:sz w:val="24"/>
        </w:rPr>
        <w:t xml:space="preserve"> </w:t>
      </w:r>
      <w:r>
        <w:rPr>
          <w:sz w:val="24"/>
        </w:rPr>
        <w:t>file</w:t>
      </w:r>
      <w:r>
        <w:rPr>
          <w:spacing w:val="-13"/>
          <w:sz w:val="24"/>
        </w:rPr>
        <w:t xml:space="preserve"> </w:t>
      </w:r>
      <w:r>
        <w:rPr>
          <w:sz w:val="24"/>
        </w:rPr>
        <w:t>all</w:t>
      </w:r>
      <w:r>
        <w:rPr>
          <w:spacing w:val="-14"/>
          <w:sz w:val="24"/>
        </w:rPr>
        <w:t xml:space="preserve"> </w:t>
      </w:r>
      <w:r>
        <w:rPr>
          <w:sz w:val="24"/>
        </w:rPr>
        <w:t>challenges</w:t>
      </w:r>
      <w:r>
        <w:rPr>
          <w:spacing w:val="-13"/>
          <w:sz w:val="24"/>
        </w:rPr>
        <w:t xml:space="preserve"> </w:t>
      </w:r>
      <w:r>
        <w:rPr>
          <w:sz w:val="24"/>
        </w:rPr>
        <w:t>to</w:t>
      </w:r>
      <w:r>
        <w:rPr>
          <w:spacing w:val="-13"/>
          <w:sz w:val="24"/>
        </w:rPr>
        <w:t xml:space="preserve"> </w:t>
      </w:r>
      <w:r>
        <w:rPr>
          <w:sz w:val="24"/>
        </w:rPr>
        <w:t>municipal</w:t>
      </w:r>
      <w:r>
        <w:rPr>
          <w:spacing w:val="-14"/>
          <w:sz w:val="24"/>
        </w:rPr>
        <w:t xml:space="preserve"> </w:t>
      </w:r>
      <w:r>
        <w:rPr>
          <w:sz w:val="24"/>
        </w:rPr>
        <w:t>calculations</w:t>
      </w:r>
      <w:r>
        <w:rPr>
          <w:spacing w:val="-13"/>
          <w:sz w:val="24"/>
        </w:rPr>
        <w:t xml:space="preserve"> </w:t>
      </w:r>
      <w:r>
        <w:rPr>
          <w:sz w:val="24"/>
        </w:rPr>
        <w:t>with</w:t>
      </w:r>
      <w:r>
        <w:rPr>
          <w:spacing w:val="-10"/>
          <w:sz w:val="24"/>
        </w:rPr>
        <w:t xml:space="preserve"> </w:t>
      </w:r>
      <w:r>
        <w:rPr>
          <w:sz w:val="24"/>
        </w:rPr>
        <w:t xml:space="preserve">the Program by </w:t>
      </w:r>
      <w:r>
        <w:rPr>
          <w:b/>
          <w:sz w:val="24"/>
        </w:rPr>
        <w:t>February 28, 2025</w:t>
      </w:r>
      <w:r>
        <w:rPr>
          <w:sz w:val="24"/>
        </w:rPr>
        <w:t>.</w:t>
      </w:r>
    </w:p>
    <w:p w14:paraId="59A0C11A" w14:textId="77777777" w:rsidR="00B95583" w:rsidRDefault="0099648A" w:rsidP="004E2F5C">
      <w:pPr>
        <w:pStyle w:val="ListParagraph"/>
        <w:numPr>
          <w:ilvl w:val="0"/>
          <w:numId w:val="1"/>
        </w:numPr>
        <w:tabs>
          <w:tab w:val="left" w:pos="1116"/>
        </w:tabs>
        <w:spacing w:line="480" w:lineRule="auto"/>
        <w:ind w:right="118" w:firstLine="720"/>
        <w:jc w:val="both"/>
        <w:rPr>
          <w:sz w:val="24"/>
        </w:rPr>
      </w:pPr>
      <w:r>
        <w:rPr>
          <w:sz w:val="24"/>
        </w:rPr>
        <w:t xml:space="preserve">The Program shall resolve all such challenges to municipal calculations by </w:t>
      </w:r>
      <w:r>
        <w:rPr>
          <w:b/>
          <w:sz w:val="24"/>
        </w:rPr>
        <w:t>March 31, 2025</w:t>
      </w:r>
      <w:r>
        <w:rPr>
          <w:sz w:val="24"/>
        </w:rPr>
        <w:t>.</w:t>
      </w:r>
    </w:p>
    <w:p w14:paraId="071CDC5D" w14:textId="77777777" w:rsidR="00B95583" w:rsidRDefault="0099648A" w:rsidP="004E2F5C">
      <w:pPr>
        <w:pStyle w:val="ListParagraph"/>
        <w:numPr>
          <w:ilvl w:val="0"/>
          <w:numId w:val="1"/>
        </w:numPr>
        <w:tabs>
          <w:tab w:val="left" w:pos="1174"/>
        </w:tabs>
        <w:spacing w:before="1"/>
        <w:ind w:left="1174" w:hanging="334"/>
        <w:jc w:val="both"/>
        <w:rPr>
          <w:sz w:val="24"/>
        </w:rPr>
      </w:pPr>
      <w:r>
        <w:rPr>
          <w:sz w:val="24"/>
        </w:rPr>
        <w:t>Municipalities</w:t>
      </w:r>
      <w:r>
        <w:rPr>
          <w:spacing w:val="63"/>
          <w:sz w:val="24"/>
        </w:rPr>
        <w:t xml:space="preserve"> </w:t>
      </w:r>
      <w:r>
        <w:rPr>
          <w:sz w:val="24"/>
        </w:rPr>
        <w:t>must</w:t>
      </w:r>
      <w:r>
        <w:rPr>
          <w:spacing w:val="64"/>
          <w:sz w:val="24"/>
        </w:rPr>
        <w:t xml:space="preserve"> </w:t>
      </w:r>
      <w:r>
        <w:rPr>
          <w:sz w:val="24"/>
        </w:rPr>
        <w:t>adopt</w:t>
      </w:r>
      <w:r>
        <w:rPr>
          <w:spacing w:val="64"/>
          <w:sz w:val="24"/>
        </w:rPr>
        <w:t xml:space="preserve"> </w:t>
      </w:r>
      <w:r>
        <w:rPr>
          <w:sz w:val="24"/>
        </w:rPr>
        <w:t>their</w:t>
      </w:r>
      <w:r>
        <w:rPr>
          <w:spacing w:val="63"/>
          <w:sz w:val="24"/>
        </w:rPr>
        <w:t xml:space="preserve"> </w:t>
      </w:r>
      <w:r>
        <w:rPr>
          <w:sz w:val="24"/>
        </w:rPr>
        <w:t>HEFSP</w:t>
      </w:r>
      <w:r>
        <w:rPr>
          <w:spacing w:val="64"/>
          <w:sz w:val="24"/>
        </w:rPr>
        <w:t xml:space="preserve"> </w:t>
      </w:r>
      <w:r>
        <w:rPr>
          <w:sz w:val="24"/>
        </w:rPr>
        <w:t>no</w:t>
      </w:r>
      <w:r>
        <w:rPr>
          <w:spacing w:val="64"/>
          <w:sz w:val="24"/>
        </w:rPr>
        <w:t xml:space="preserve"> </w:t>
      </w:r>
      <w:r>
        <w:rPr>
          <w:sz w:val="24"/>
        </w:rPr>
        <w:t>later</w:t>
      </w:r>
      <w:r>
        <w:rPr>
          <w:spacing w:val="63"/>
          <w:sz w:val="24"/>
        </w:rPr>
        <w:t xml:space="preserve"> </w:t>
      </w:r>
      <w:r>
        <w:rPr>
          <w:sz w:val="24"/>
        </w:rPr>
        <w:t>than</w:t>
      </w:r>
      <w:r>
        <w:rPr>
          <w:spacing w:val="59"/>
          <w:sz w:val="24"/>
        </w:rPr>
        <w:t xml:space="preserve"> </w:t>
      </w:r>
      <w:r>
        <w:rPr>
          <w:b/>
          <w:sz w:val="24"/>
        </w:rPr>
        <w:t>June</w:t>
      </w:r>
      <w:r>
        <w:rPr>
          <w:b/>
          <w:spacing w:val="64"/>
          <w:sz w:val="24"/>
        </w:rPr>
        <w:t xml:space="preserve"> </w:t>
      </w:r>
      <w:r>
        <w:rPr>
          <w:b/>
          <w:sz w:val="24"/>
        </w:rPr>
        <w:t>30,</w:t>
      </w:r>
      <w:r>
        <w:rPr>
          <w:b/>
          <w:spacing w:val="61"/>
          <w:sz w:val="24"/>
        </w:rPr>
        <w:t xml:space="preserve"> </w:t>
      </w:r>
      <w:r>
        <w:rPr>
          <w:b/>
          <w:spacing w:val="-2"/>
          <w:sz w:val="24"/>
        </w:rPr>
        <w:t>2025</w:t>
      </w:r>
      <w:r>
        <w:rPr>
          <w:spacing w:val="-2"/>
          <w:sz w:val="24"/>
        </w:rPr>
        <w:t>.</w:t>
      </w:r>
    </w:p>
    <w:p w14:paraId="793E8E0F" w14:textId="77777777" w:rsidR="00B95583" w:rsidRDefault="00B95583" w:rsidP="004E2F5C">
      <w:pPr>
        <w:pStyle w:val="BodyText"/>
        <w:spacing w:before="10"/>
        <w:ind w:left="0"/>
        <w:rPr>
          <w:sz w:val="23"/>
        </w:rPr>
      </w:pPr>
    </w:p>
    <w:p w14:paraId="6FDCD114" w14:textId="77777777" w:rsidR="00B95583" w:rsidRDefault="0099648A" w:rsidP="004E2F5C">
      <w:pPr>
        <w:pStyle w:val="BodyText"/>
        <w:spacing w:before="1" w:line="480" w:lineRule="auto"/>
        <w:ind w:right="120"/>
      </w:pPr>
      <w:r>
        <w:t>Municipal HEFSPs must include draft (zoning) ordinances and resolutions to implement</w:t>
      </w:r>
      <w:r>
        <w:rPr>
          <w:spacing w:val="-14"/>
        </w:rPr>
        <w:t xml:space="preserve"> </w:t>
      </w:r>
      <w:r>
        <w:t>municipal</w:t>
      </w:r>
      <w:r>
        <w:rPr>
          <w:spacing w:val="-14"/>
        </w:rPr>
        <w:t xml:space="preserve"> </w:t>
      </w:r>
      <w:r>
        <w:t>present</w:t>
      </w:r>
      <w:r>
        <w:rPr>
          <w:spacing w:val="-14"/>
        </w:rPr>
        <w:t xml:space="preserve"> </w:t>
      </w:r>
      <w:r>
        <w:t>and</w:t>
      </w:r>
      <w:r>
        <w:rPr>
          <w:spacing w:val="-14"/>
        </w:rPr>
        <w:t xml:space="preserve"> </w:t>
      </w:r>
      <w:r>
        <w:t>prospective</w:t>
      </w:r>
      <w:r>
        <w:rPr>
          <w:spacing w:val="-15"/>
        </w:rPr>
        <w:t xml:space="preserve"> </w:t>
      </w:r>
      <w:r>
        <w:t>need</w:t>
      </w:r>
      <w:r>
        <w:rPr>
          <w:spacing w:val="-16"/>
        </w:rPr>
        <w:t xml:space="preserve"> </w:t>
      </w:r>
      <w:r>
        <w:t>calculations.</w:t>
      </w:r>
      <w:r>
        <w:rPr>
          <w:spacing w:val="-13"/>
        </w:rPr>
        <w:t xml:space="preserve"> </w:t>
      </w:r>
      <w:r>
        <w:t>Municipalities</w:t>
      </w:r>
      <w:r>
        <w:rPr>
          <w:spacing w:val="-15"/>
        </w:rPr>
        <w:t xml:space="preserve"> </w:t>
      </w:r>
      <w:r>
        <w:t xml:space="preserve">must file their adopted HEFSPs with the Program within </w:t>
      </w:r>
      <w:r>
        <w:rPr>
          <w:b/>
        </w:rPr>
        <w:t xml:space="preserve">48 hours </w:t>
      </w:r>
      <w:r>
        <w:t>of adoption.</w:t>
      </w:r>
    </w:p>
    <w:p w14:paraId="17CC1C7C" w14:textId="77777777" w:rsidR="00B95583" w:rsidRDefault="0099648A" w:rsidP="004E2F5C">
      <w:pPr>
        <w:pStyle w:val="ListParagraph"/>
        <w:numPr>
          <w:ilvl w:val="0"/>
          <w:numId w:val="1"/>
        </w:numPr>
        <w:tabs>
          <w:tab w:val="left" w:pos="1121"/>
        </w:tabs>
        <w:spacing w:line="480" w:lineRule="auto"/>
        <w:ind w:right="117" w:firstLine="720"/>
        <w:jc w:val="both"/>
        <w:rPr>
          <w:sz w:val="24"/>
        </w:rPr>
      </w:pPr>
      <w:r>
        <w:rPr>
          <w:sz w:val="24"/>
        </w:rPr>
        <w:t xml:space="preserve">Interested parties must file any challenges of municipal HEFSPs with the DCA program no later than </w:t>
      </w:r>
      <w:r>
        <w:rPr>
          <w:b/>
          <w:sz w:val="24"/>
        </w:rPr>
        <w:t>August 31, 2025</w:t>
      </w:r>
      <w:r>
        <w:rPr>
          <w:sz w:val="24"/>
        </w:rPr>
        <w:t>.</w:t>
      </w:r>
    </w:p>
    <w:p w14:paraId="0C6D7726" w14:textId="77777777" w:rsidR="00B95583" w:rsidRDefault="0099648A" w:rsidP="004E2F5C">
      <w:pPr>
        <w:pStyle w:val="ListParagraph"/>
        <w:numPr>
          <w:ilvl w:val="0"/>
          <w:numId w:val="1"/>
        </w:numPr>
        <w:tabs>
          <w:tab w:val="left" w:pos="1207"/>
        </w:tabs>
        <w:spacing w:line="480" w:lineRule="auto"/>
        <w:ind w:left="119" w:right="117" w:firstLine="720"/>
        <w:jc w:val="both"/>
        <w:rPr>
          <w:sz w:val="24"/>
        </w:rPr>
      </w:pPr>
      <w:r>
        <w:rPr>
          <w:sz w:val="24"/>
        </w:rPr>
        <w:t xml:space="preserve">The Program will facilitate communication between the municipality and any interested parties regarding any challenge and seek to mediate a solution. Municipalities have until </w:t>
      </w:r>
      <w:r>
        <w:rPr>
          <w:b/>
          <w:sz w:val="24"/>
        </w:rPr>
        <w:t xml:space="preserve">December 31, 2025, </w:t>
      </w:r>
      <w:r>
        <w:rPr>
          <w:sz w:val="24"/>
        </w:rPr>
        <w:t>to resolve any challenge to their HEFSP. If a challenge is resolved, the Program will issue a compliance certification conditioned</w:t>
      </w:r>
      <w:r>
        <w:rPr>
          <w:spacing w:val="-3"/>
          <w:sz w:val="24"/>
        </w:rPr>
        <w:t xml:space="preserve"> </w:t>
      </w:r>
      <w:r>
        <w:rPr>
          <w:sz w:val="24"/>
        </w:rPr>
        <w:t>upon</w:t>
      </w:r>
      <w:r>
        <w:rPr>
          <w:spacing w:val="-4"/>
          <w:sz w:val="24"/>
        </w:rPr>
        <w:t xml:space="preserve"> </w:t>
      </w:r>
      <w:r>
        <w:rPr>
          <w:sz w:val="24"/>
        </w:rPr>
        <w:t>the</w:t>
      </w:r>
      <w:r>
        <w:rPr>
          <w:spacing w:val="-2"/>
          <w:sz w:val="24"/>
        </w:rPr>
        <w:t xml:space="preserve"> </w:t>
      </w:r>
      <w:r>
        <w:rPr>
          <w:sz w:val="24"/>
        </w:rPr>
        <w:t>municipality’s</w:t>
      </w:r>
      <w:r>
        <w:rPr>
          <w:spacing w:val="-5"/>
          <w:sz w:val="24"/>
        </w:rPr>
        <w:t xml:space="preserve"> </w:t>
      </w:r>
      <w:r>
        <w:rPr>
          <w:sz w:val="24"/>
        </w:rPr>
        <w:t>commitment,</w:t>
      </w:r>
      <w:r>
        <w:rPr>
          <w:spacing w:val="-3"/>
          <w:sz w:val="24"/>
        </w:rPr>
        <w:t xml:space="preserve"> </w:t>
      </w:r>
      <w:r>
        <w:rPr>
          <w:sz w:val="24"/>
        </w:rPr>
        <w:t>as</w:t>
      </w:r>
      <w:r>
        <w:rPr>
          <w:spacing w:val="-5"/>
          <w:sz w:val="24"/>
        </w:rPr>
        <w:t xml:space="preserve"> </w:t>
      </w:r>
      <w:r>
        <w:rPr>
          <w:sz w:val="24"/>
        </w:rPr>
        <w:t>necessary,</w:t>
      </w:r>
      <w:r>
        <w:rPr>
          <w:spacing w:val="-3"/>
          <w:sz w:val="24"/>
        </w:rPr>
        <w:t xml:space="preserve"> </w:t>
      </w:r>
      <w:r>
        <w:rPr>
          <w:sz w:val="24"/>
        </w:rPr>
        <w:t>to</w:t>
      </w:r>
      <w:r>
        <w:rPr>
          <w:spacing w:val="-4"/>
          <w:sz w:val="24"/>
        </w:rPr>
        <w:t xml:space="preserve"> </w:t>
      </w:r>
      <w:r>
        <w:rPr>
          <w:sz w:val="24"/>
        </w:rPr>
        <w:t>revise</w:t>
      </w:r>
      <w:r>
        <w:rPr>
          <w:spacing w:val="-2"/>
          <w:sz w:val="24"/>
        </w:rPr>
        <w:t xml:space="preserve"> </w:t>
      </w:r>
      <w:r>
        <w:rPr>
          <w:sz w:val="24"/>
        </w:rPr>
        <w:t>its</w:t>
      </w:r>
      <w:r>
        <w:rPr>
          <w:spacing w:val="-5"/>
          <w:sz w:val="24"/>
        </w:rPr>
        <w:t xml:space="preserve"> </w:t>
      </w:r>
      <w:r>
        <w:rPr>
          <w:sz w:val="24"/>
        </w:rPr>
        <w:t>HEFSP. If</w:t>
      </w:r>
      <w:r>
        <w:rPr>
          <w:spacing w:val="-6"/>
          <w:sz w:val="24"/>
        </w:rPr>
        <w:t xml:space="preserve"> </w:t>
      </w:r>
      <w:r>
        <w:rPr>
          <w:sz w:val="24"/>
        </w:rPr>
        <w:t>the</w:t>
      </w:r>
      <w:r>
        <w:rPr>
          <w:spacing w:val="-5"/>
          <w:sz w:val="24"/>
        </w:rPr>
        <w:t xml:space="preserve"> </w:t>
      </w:r>
      <w:r>
        <w:rPr>
          <w:sz w:val="24"/>
        </w:rPr>
        <w:t>dispute</w:t>
      </w:r>
      <w:r>
        <w:rPr>
          <w:spacing w:val="-3"/>
          <w:sz w:val="24"/>
        </w:rPr>
        <w:t xml:space="preserve"> </w:t>
      </w:r>
      <w:r>
        <w:rPr>
          <w:sz w:val="24"/>
        </w:rPr>
        <w:t>is</w:t>
      </w:r>
      <w:r>
        <w:rPr>
          <w:spacing w:val="-6"/>
          <w:sz w:val="24"/>
        </w:rPr>
        <w:t xml:space="preserve"> </w:t>
      </w:r>
      <w:r>
        <w:rPr>
          <w:sz w:val="24"/>
        </w:rPr>
        <w:t>not</w:t>
      </w:r>
      <w:r>
        <w:rPr>
          <w:spacing w:val="-5"/>
          <w:sz w:val="24"/>
        </w:rPr>
        <w:t xml:space="preserve"> </w:t>
      </w:r>
      <w:r>
        <w:rPr>
          <w:sz w:val="24"/>
        </w:rPr>
        <w:t>resolved</w:t>
      </w:r>
      <w:r>
        <w:rPr>
          <w:spacing w:val="-6"/>
          <w:sz w:val="24"/>
        </w:rPr>
        <w:t xml:space="preserve"> </w:t>
      </w:r>
      <w:r>
        <w:rPr>
          <w:sz w:val="24"/>
        </w:rPr>
        <w:t>by</w:t>
      </w:r>
      <w:r>
        <w:rPr>
          <w:spacing w:val="-5"/>
          <w:sz w:val="24"/>
        </w:rPr>
        <w:t xml:space="preserve"> </w:t>
      </w:r>
      <w:r>
        <w:rPr>
          <w:b/>
          <w:sz w:val="24"/>
        </w:rPr>
        <w:t>December</w:t>
      </w:r>
      <w:r>
        <w:rPr>
          <w:b/>
          <w:spacing w:val="-6"/>
          <w:sz w:val="24"/>
        </w:rPr>
        <w:t xml:space="preserve"> </w:t>
      </w:r>
      <w:r>
        <w:rPr>
          <w:b/>
          <w:sz w:val="24"/>
        </w:rPr>
        <w:t>31,</w:t>
      </w:r>
      <w:r>
        <w:rPr>
          <w:b/>
          <w:spacing w:val="-5"/>
          <w:sz w:val="24"/>
        </w:rPr>
        <w:t xml:space="preserve"> </w:t>
      </w:r>
      <w:r>
        <w:rPr>
          <w:b/>
          <w:sz w:val="24"/>
        </w:rPr>
        <w:t>2025</w:t>
      </w:r>
      <w:r>
        <w:rPr>
          <w:sz w:val="24"/>
        </w:rPr>
        <w:t>,</w:t>
      </w:r>
      <w:r>
        <w:rPr>
          <w:spacing w:val="-5"/>
          <w:sz w:val="24"/>
        </w:rPr>
        <w:t xml:space="preserve"> </w:t>
      </w:r>
      <w:r>
        <w:rPr>
          <w:sz w:val="24"/>
        </w:rPr>
        <w:t>the</w:t>
      </w:r>
      <w:r>
        <w:rPr>
          <w:spacing w:val="-8"/>
          <w:sz w:val="24"/>
        </w:rPr>
        <w:t xml:space="preserve"> </w:t>
      </w:r>
      <w:r>
        <w:rPr>
          <w:sz w:val="24"/>
        </w:rPr>
        <w:t>matter</w:t>
      </w:r>
      <w:r>
        <w:rPr>
          <w:spacing w:val="-6"/>
          <w:sz w:val="24"/>
        </w:rPr>
        <w:t xml:space="preserve"> </w:t>
      </w:r>
      <w:r>
        <w:rPr>
          <w:sz w:val="24"/>
        </w:rPr>
        <w:t>will</w:t>
      </w:r>
      <w:r>
        <w:rPr>
          <w:spacing w:val="-7"/>
          <w:sz w:val="24"/>
        </w:rPr>
        <w:t xml:space="preserve"> </w:t>
      </w:r>
      <w:r>
        <w:rPr>
          <w:sz w:val="24"/>
        </w:rPr>
        <w:t>be</w:t>
      </w:r>
      <w:r>
        <w:rPr>
          <w:spacing w:val="-5"/>
          <w:sz w:val="24"/>
        </w:rPr>
        <w:t xml:space="preserve"> </w:t>
      </w:r>
      <w:r>
        <w:rPr>
          <w:sz w:val="24"/>
        </w:rPr>
        <w:t>transferred</w:t>
      </w:r>
      <w:r>
        <w:rPr>
          <w:spacing w:val="-6"/>
          <w:sz w:val="24"/>
        </w:rPr>
        <w:t xml:space="preserve"> </w:t>
      </w:r>
      <w:r>
        <w:rPr>
          <w:sz w:val="24"/>
        </w:rPr>
        <w:t>to a county level housing judge for a decision.</w:t>
      </w:r>
    </w:p>
    <w:p w14:paraId="5E80A5D3" w14:textId="77777777" w:rsidR="00B95583" w:rsidRDefault="00B95583">
      <w:pPr>
        <w:spacing w:line="480" w:lineRule="auto"/>
        <w:jc w:val="both"/>
        <w:rPr>
          <w:sz w:val="24"/>
        </w:rPr>
        <w:sectPr w:rsidR="00B95583">
          <w:pgSz w:w="12240" w:h="15840"/>
          <w:pgMar w:top="1360" w:right="1320" w:bottom="1260" w:left="1320" w:header="0" w:footer="1063" w:gutter="0"/>
          <w:cols w:space="720"/>
        </w:sectPr>
      </w:pPr>
    </w:p>
    <w:p w14:paraId="08667243" w14:textId="77777777" w:rsidR="00B95583" w:rsidRDefault="0099648A">
      <w:pPr>
        <w:pStyle w:val="ListParagraph"/>
        <w:numPr>
          <w:ilvl w:val="0"/>
          <w:numId w:val="1"/>
        </w:numPr>
        <w:tabs>
          <w:tab w:val="left" w:pos="1121"/>
        </w:tabs>
        <w:spacing w:before="81" w:line="480" w:lineRule="auto"/>
        <w:ind w:right="115" w:firstLine="720"/>
        <w:jc w:val="both"/>
        <w:rPr>
          <w:sz w:val="24"/>
        </w:rPr>
      </w:pPr>
      <w:r>
        <w:rPr>
          <w:sz w:val="24"/>
        </w:rPr>
        <w:lastRenderedPageBreak/>
        <w:t xml:space="preserve">All ordinances and resolutions implementing a municipal HEFSP must be adopted by </w:t>
      </w:r>
      <w:r>
        <w:rPr>
          <w:b/>
          <w:sz w:val="24"/>
        </w:rPr>
        <w:t>March 15,</w:t>
      </w:r>
      <w:r>
        <w:rPr>
          <w:b/>
          <w:spacing w:val="-1"/>
          <w:sz w:val="24"/>
        </w:rPr>
        <w:t xml:space="preserve"> </w:t>
      </w:r>
      <w:r>
        <w:rPr>
          <w:b/>
          <w:sz w:val="24"/>
        </w:rPr>
        <w:t>2026</w:t>
      </w:r>
      <w:r>
        <w:rPr>
          <w:sz w:val="24"/>
        </w:rPr>
        <w:t>. After</w:t>
      </w:r>
      <w:r>
        <w:rPr>
          <w:spacing w:val="-2"/>
          <w:sz w:val="24"/>
        </w:rPr>
        <w:t xml:space="preserve"> </w:t>
      </w:r>
      <w:r>
        <w:rPr>
          <w:sz w:val="24"/>
        </w:rPr>
        <w:t xml:space="preserve">adoption, said HEFSPs must be immediately filed with the Program. In lieu of adopting implementing ordinances, a municipality that is involved in a dispute of its HEFSP may adopt a binding resolution by </w:t>
      </w:r>
      <w:r>
        <w:rPr>
          <w:b/>
          <w:sz w:val="24"/>
        </w:rPr>
        <w:t xml:space="preserve">March 15, 2026, </w:t>
      </w:r>
      <w:r>
        <w:rPr>
          <w:sz w:val="24"/>
        </w:rPr>
        <w:t>to commit to adopting the implementing ordinances and resolutions following the resolution of the dispute, with necessary adjustments to reflect said resolution.</w:t>
      </w:r>
    </w:p>
    <w:p w14:paraId="5D3A2950" w14:textId="12FA5A4E" w:rsidR="00B95583" w:rsidRDefault="0099648A">
      <w:pPr>
        <w:pStyle w:val="BodyText"/>
        <w:spacing w:before="1" w:line="480" w:lineRule="auto"/>
        <w:ind w:right="115" w:firstLine="720"/>
      </w:pPr>
      <w:r>
        <w:t>A-4 provides some guidance on how the Program is meant to decide disputes regarding affordable housing obligations, mediate disputes about municipal HEFSP and</w:t>
      </w:r>
      <w:r>
        <w:rPr>
          <w:spacing w:val="-11"/>
        </w:rPr>
        <w:t xml:space="preserve"> </w:t>
      </w:r>
      <w:r>
        <w:t>in</w:t>
      </w:r>
      <w:r>
        <w:rPr>
          <w:spacing w:val="-10"/>
        </w:rPr>
        <w:t xml:space="preserve"> </w:t>
      </w:r>
      <w:r>
        <w:t>what</w:t>
      </w:r>
      <w:r>
        <w:rPr>
          <w:spacing w:val="-10"/>
        </w:rPr>
        <w:t xml:space="preserve"> </w:t>
      </w:r>
      <w:r>
        <w:t>situation</w:t>
      </w:r>
      <w:r>
        <w:rPr>
          <w:spacing w:val="-9"/>
        </w:rPr>
        <w:t xml:space="preserve"> </w:t>
      </w:r>
      <w:r>
        <w:t>a</w:t>
      </w:r>
      <w:r>
        <w:rPr>
          <w:spacing w:val="-10"/>
        </w:rPr>
        <w:t xml:space="preserve"> </w:t>
      </w:r>
      <w:r>
        <w:t>municipality</w:t>
      </w:r>
      <w:r>
        <w:rPr>
          <w:spacing w:val="-10"/>
        </w:rPr>
        <w:t xml:space="preserve"> </w:t>
      </w:r>
      <w:r>
        <w:t>would</w:t>
      </w:r>
      <w:r>
        <w:rPr>
          <w:spacing w:val="-10"/>
        </w:rPr>
        <w:t xml:space="preserve"> </w:t>
      </w:r>
      <w:r>
        <w:t>lose</w:t>
      </w:r>
      <w:r>
        <w:rPr>
          <w:spacing w:val="-10"/>
        </w:rPr>
        <w:t xml:space="preserve"> </w:t>
      </w:r>
      <w:r>
        <w:t>immunity.</w:t>
      </w:r>
      <w:r>
        <w:rPr>
          <w:spacing w:val="-10"/>
        </w:rPr>
        <w:t xml:space="preserve"> </w:t>
      </w:r>
      <w:r>
        <w:t>With</w:t>
      </w:r>
      <w:r>
        <w:rPr>
          <w:spacing w:val="-10"/>
        </w:rPr>
        <w:t xml:space="preserve"> </w:t>
      </w:r>
      <w:r>
        <w:t>respect</w:t>
      </w:r>
      <w:r>
        <w:rPr>
          <w:spacing w:val="-10"/>
        </w:rPr>
        <w:t xml:space="preserve"> </w:t>
      </w:r>
      <w:r>
        <w:t>to</w:t>
      </w:r>
      <w:r>
        <w:rPr>
          <w:spacing w:val="-10"/>
        </w:rPr>
        <w:t xml:space="preserve"> </w:t>
      </w:r>
      <w:r>
        <w:t>reviewing a municipality’s obligation calculations, A-4 directs the Program to “apply an objective assessment standard to determine whether a municipality’s present and prospective</w:t>
      </w:r>
      <w:r>
        <w:rPr>
          <w:spacing w:val="-1"/>
        </w:rPr>
        <w:t xml:space="preserve"> </w:t>
      </w:r>
      <w:r>
        <w:t>need calculation</w:t>
      </w:r>
      <w:r>
        <w:rPr>
          <w:spacing w:val="-1"/>
        </w:rPr>
        <w:t xml:space="preserve"> </w:t>
      </w:r>
      <w:r>
        <w:t>is</w:t>
      </w:r>
      <w:r>
        <w:rPr>
          <w:spacing w:val="-1"/>
        </w:rPr>
        <w:t xml:space="preserve"> </w:t>
      </w:r>
      <w:r>
        <w:t>compliant [with</w:t>
      </w:r>
      <w:r>
        <w:rPr>
          <w:spacing w:val="-1"/>
        </w:rPr>
        <w:t xml:space="preserve"> </w:t>
      </w:r>
      <w:r>
        <w:t>the</w:t>
      </w:r>
      <w:r>
        <w:rPr>
          <w:spacing w:val="-1"/>
        </w:rPr>
        <w:t xml:space="preserve"> </w:t>
      </w:r>
      <w:r>
        <w:t>need calculation</w:t>
      </w:r>
      <w:r>
        <w:rPr>
          <w:spacing w:val="-1"/>
        </w:rPr>
        <w:t xml:space="preserve"> </w:t>
      </w:r>
      <w:r>
        <w:t>requirements</w:t>
      </w:r>
      <w:r>
        <w:rPr>
          <w:spacing w:val="-1"/>
        </w:rPr>
        <w:t xml:space="preserve"> </w:t>
      </w:r>
      <w:r>
        <w:t>of A-4].”</w:t>
      </w:r>
      <w:r>
        <w:rPr>
          <w:spacing w:val="-12"/>
        </w:rPr>
        <w:t xml:space="preserve"> </w:t>
      </w:r>
      <w:r>
        <w:t>Additionally,</w:t>
      </w:r>
      <w:r>
        <w:rPr>
          <w:spacing w:val="-12"/>
        </w:rPr>
        <w:t xml:space="preserve"> </w:t>
      </w:r>
      <w:r>
        <w:t>when</w:t>
      </w:r>
      <w:r>
        <w:rPr>
          <w:spacing w:val="-12"/>
        </w:rPr>
        <w:t xml:space="preserve"> </w:t>
      </w:r>
      <w:r>
        <w:t>reviewing</w:t>
      </w:r>
      <w:r>
        <w:rPr>
          <w:spacing w:val="-11"/>
        </w:rPr>
        <w:t xml:space="preserve"> </w:t>
      </w:r>
      <w:r>
        <w:t>a</w:t>
      </w:r>
      <w:r>
        <w:rPr>
          <w:spacing w:val="-11"/>
        </w:rPr>
        <w:t xml:space="preserve"> </w:t>
      </w:r>
      <w:r>
        <w:t>challenge</w:t>
      </w:r>
      <w:r>
        <w:rPr>
          <w:spacing w:val="-12"/>
        </w:rPr>
        <w:t xml:space="preserve"> </w:t>
      </w:r>
      <w:r>
        <w:t>to</w:t>
      </w:r>
      <w:r>
        <w:rPr>
          <w:spacing w:val="-15"/>
        </w:rPr>
        <w:t xml:space="preserve"> </w:t>
      </w:r>
      <w:r>
        <w:t>a</w:t>
      </w:r>
      <w:r>
        <w:rPr>
          <w:spacing w:val="-11"/>
        </w:rPr>
        <w:t xml:space="preserve"> </w:t>
      </w:r>
      <w:r>
        <w:t>municipality’s</w:t>
      </w:r>
      <w:r>
        <w:rPr>
          <w:spacing w:val="-13"/>
        </w:rPr>
        <w:t xml:space="preserve"> </w:t>
      </w:r>
      <w:r>
        <w:t>need</w:t>
      </w:r>
      <w:r>
        <w:rPr>
          <w:spacing w:val="-13"/>
        </w:rPr>
        <w:t xml:space="preserve"> </w:t>
      </w:r>
      <w:r>
        <w:t>calculations, the</w:t>
      </w:r>
      <w:r>
        <w:rPr>
          <w:spacing w:val="-10"/>
        </w:rPr>
        <w:t xml:space="preserve"> </w:t>
      </w:r>
      <w:r>
        <w:t>Program</w:t>
      </w:r>
      <w:r>
        <w:rPr>
          <w:spacing w:val="-10"/>
        </w:rPr>
        <w:t xml:space="preserve"> </w:t>
      </w:r>
      <w:r>
        <w:t>has</w:t>
      </w:r>
      <w:r>
        <w:rPr>
          <w:spacing w:val="-11"/>
        </w:rPr>
        <w:t xml:space="preserve"> </w:t>
      </w:r>
      <w:r>
        <w:t>three</w:t>
      </w:r>
      <w:r>
        <w:rPr>
          <w:spacing w:val="-10"/>
        </w:rPr>
        <w:t xml:space="preserve"> </w:t>
      </w:r>
      <w:r>
        <w:t>(3)</w:t>
      </w:r>
      <w:r>
        <w:rPr>
          <w:spacing w:val="-11"/>
        </w:rPr>
        <w:t xml:space="preserve"> </w:t>
      </w:r>
      <w:r>
        <w:t>options</w:t>
      </w:r>
      <w:r>
        <w:rPr>
          <w:spacing w:val="-11"/>
        </w:rPr>
        <w:t xml:space="preserve"> </w:t>
      </w:r>
      <w:r>
        <w:t>to</w:t>
      </w:r>
      <w:r>
        <w:rPr>
          <w:spacing w:val="-10"/>
        </w:rPr>
        <w:t xml:space="preserve"> </w:t>
      </w:r>
      <w:r>
        <w:t>resolve</w:t>
      </w:r>
      <w:r>
        <w:rPr>
          <w:spacing w:val="-8"/>
        </w:rPr>
        <w:t xml:space="preserve"> </w:t>
      </w:r>
      <w:r>
        <w:t>the</w:t>
      </w:r>
      <w:r>
        <w:rPr>
          <w:spacing w:val="-10"/>
        </w:rPr>
        <w:t xml:space="preserve"> </w:t>
      </w:r>
      <w:r>
        <w:t>dispute.</w:t>
      </w:r>
      <w:r>
        <w:rPr>
          <w:spacing w:val="-10"/>
        </w:rPr>
        <w:t xml:space="preserve"> </w:t>
      </w:r>
      <w:r>
        <w:t>It</w:t>
      </w:r>
      <w:r>
        <w:rPr>
          <w:spacing w:val="-10"/>
        </w:rPr>
        <w:t xml:space="preserve"> </w:t>
      </w:r>
      <w:r>
        <w:t>can:</w:t>
      </w:r>
      <w:r>
        <w:rPr>
          <w:spacing w:val="-10"/>
        </w:rPr>
        <w:t xml:space="preserve"> </w:t>
      </w:r>
      <w:r>
        <w:t>1)</w:t>
      </w:r>
      <w:r>
        <w:rPr>
          <w:spacing w:val="-11"/>
        </w:rPr>
        <w:t xml:space="preserve"> </w:t>
      </w:r>
      <w:r>
        <w:t>determine</w:t>
      </w:r>
      <w:r>
        <w:rPr>
          <w:spacing w:val="-10"/>
        </w:rPr>
        <w:t xml:space="preserve"> </w:t>
      </w:r>
      <w:r>
        <w:t>that</w:t>
      </w:r>
      <w:r>
        <w:rPr>
          <w:spacing w:val="-10"/>
        </w:rPr>
        <w:t xml:space="preserve"> </w:t>
      </w:r>
      <w:r>
        <w:t>the municipality’s affordable housing number “did not facially comply with the requirements of [A-4];” 2) adjust the obligations without revoking immunity; or 3) reject a challenge and affirm the municipality’s determination. Thus, to the extent that a municipality’s calculations are somewhat “in the ballpark,” the Program is directed</w:t>
      </w:r>
      <w:r>
        <w:rPr>
          <w:spacing w:val="-12"/>
        </w:rPr>
        <w:t xml:space="preserve"> </w:t>
      </w:r>
      <w:r>
        <w:t>to</w:t>
      </w:r>
      <w:r>
        <w:rPr>
          <w:spacing w:val="-11"/>
        </w:rPr>
        <w:t xml:space="preserve"> </w:t>
      </w:r>
      <w:r>
        <w:t>modify</w:t>
      </w:r>
      <w:r>
        <w:rPr>
          <w:spacing w:val="-10"/>
        </w:rPr>
        <w:t xml:space="preserve"> </w:t>
      </w:r>
      <w:r>
        <w:t>the</w:t>
      </w:r>
      <w:r>
        <w:rPr>
          <w:spacing w:val="-11"/>
        </w:rPr>
        <w:t xml:space="preserve"> </w:t>
      </w:r>
      <w:r>
        <w:t>calculation</w:t>
      </w:r>
      <w:r>
        <w:rPr>
          <w:spacing w:val="-11"/>
        </w:rPr>
        <w:t xml:space="preserve"> </w:t>
      </w:r>
      <w:r>
        <w:t>but,</w:t>
      </w:r>
      <w:r>
        <w:rPr>
          <w:spacing w:val="-11"/>
        </w:rPr>
        <w:t xml:space="preserve"> </w:t>
      </w:r>
      <w:r>
        <w:t>to</w:t>
      </w:r>
      <w:r>
        <w:rPr>
          <w:spacing w:val="-14"/>
        </w:rPr>
        <w:t xml:space="preserve"> </w:t>
      </w:r>
      <w:r>
        <w:t>the</w:t>
      </w:r>
      <w:r>
        <w:rPr>
          <w:spacing w:val="-11"/>
        </w:rPr>
        <w:t xml:space="preserve"> </w:t>
      </w:r>
      <w:r>
        <w:t>extent</w:t>
      </w:r>
      <w:r>
        <w:rPr>
          <w:spacing w:val="-13"/>
        </w:rPr>
        <w:t xml:space="preserve"> </w:t>
      </w:r>
      <w:r>
        <w:t>that</w:t>
      </w:r>
      <w:r>
        <w:rPr>
          <w:spacing w:val="-13"/>
        </w:rPr>
        <w:t xml:space="preserve"> </w:t>
      </w:r>
      <w:r>
        <w:t>the</w:t>
      </w:r>
      <w:r>
        <w:rPr>
          <w:spacing w:val="-11"/>
        </w:rPr>
        <w:t xml:space="preserve"> </w:t>
      </w:r>
      <w:r>
        <w:t>calculations</w:t>
      </w:r>
      <w:r>
        <w:rPr>
          <w:spacing w:val="-12"/>
        </w:rPr>
        <w:t xml:space="preserve"> </w:t>
      </w:r>
      <w:r>
        <w:t>are</w:t>
      </w:r>
      <w:r>
        <w:rPr>
          <w:spacing w:val="-11"/>
        </w:rPr>
        <w:t xml:space="preserve"> </w:t>
      </w:r>
      <w:r>
        <w:t>not</w:t>
      </w:r>
      <w:r>
        <w:rPr>
          <w:spacing w:val="-11"/>
        </w:rPr>
        <w:t xml:space="preserve"> </w:t>
      </w:r>
      <w:r>
        <w:t>even “facially” compliant with A-4, a municipality would lose immunity.</w:t>
      </w:r>
    </w:p>
    <w:p w14:paraId="1B4FCC03" w14:textId="77777777" w:rsidR="00B95583" w:rsidRDefault="0099648A">
      <w:pPr>
        <w:pStyle w:val="BodyText"/>
        <w:spacing w:before="158" w:line="480" w:lineRule="auto"/>
        <w:ind w:right="119" w:firstLine="720"/>
      </w:pPr>
      <w:r>
        <w:t>A-4 similarly sets forth some substantive direction in how the Program is meant to</w:t>
      </w:r>
      <w:r>
        <w:rPr>
          <w:spacing w:val="-1"/>
        </w:rPr>
        <w:t xml:space="preserve"> </w:t>
      </w:r>
      <w:r>
        <w:t>review challenges</w:t>
      </w:r>
      <w:r>
        <w:rPr>
          <w:spacing w:val="-1"/>
        </w:rPr>
        <w:t xml:space="preserve"> </w:t>
      </w:r>
      <w:r>
        <w:t>to</w:t>
      </w:r>
      <w:r>
        <w:rPr>
          <w:spacing w:val="-1"/>
        </w:rPr>
        <w:t xml:space="preserve"> </w:t>
      </w:r>
      <w:r>
        <w:t>a municipality’s</w:t>
      </w:r>
      <w:r>
        <w:rPr>
          <w:spacing w:val="-1"/>
        </w:rPr>
        <w:t xml:space="preserve"> </w:t>
      </w:r>
      <w:r>
        <w:t>adopted</w:t>
      </w:r>
      <w:r>
        <w:rPr>
          <w:spacing w:val="-2"/>
        </w:rPr>
        <w:t xml:space="preserve"> </w:t>
      </w:r>
      <w:r>
        <w:t>HEFSP. If</w:t>
      </w:r>
      <w:r>
        <w:rPr>
          <w:spacing w:val="-1"/>
        </w:rPr>
        <w:t xml:space="preserve"> </w:t>
      </w:r>
      <w:r>
        <w:t>no</w:t>
      </w:r>
      <w:r>
        <w:rPr>
          <w:spacing w:val="-1"/>
        </w:rPr>
        <w:t xml:space="preserve"> </w:t>
      </w:r>
      <w:r>
        <w:t>one</w:t>
      </w:r>
      <w:r>
        <w:rPr>
          <w:spacing w:val="-1"/>
        </w:rPr>
        <w:t xml:space="preserve"> </w:t>
      </w:r>
      <w:r>
        <w:t>challenges</w:t>
      </w:r>
    </w:p>
    <w:p w14:paraId="5F5262C8" w14:textId="77777777" w:rsidR="00B95583" w:rsidRDefault="00B95583">
      <w:pPr>
        <w:spacing w:line="480" w:lineRule="auto"/>
        <w:sectPr w:rsidR="00B95583">
          <w:pgSz w:w="12240" w:h="15840"/>
          <w:pgMar w:top="1360" w:right="1320" w:bottom="1260" w:left="1320" w:header="0" w:footer="1063" w:gutter="0"/>
          <w:cols w:space="720"/>
        </w:sectPr>
      </w:pPr>
    </w:p>
    <w:p w14:paraId="76A48EBC" w14:textId="77777777" w:rsidR="00B95583" w:rsidRDefault="0099648A">
      <w:pPr>
        <w:pStyle w:val="BodyText"/>
        <w:spacing w:before="81" w:line="480" w:lineRule="auto"/>
        <w:ind w:left="119" w:right="117"/>
      </w:pPr>
      <w:r>
        <w:lastRenderedPageBreak/>
        <w:t>a</w:t>
      </w:r>
      <w:r>
        <w:rPr>
          <w:spacing w:val="-5"/>
        </w:rPr>
        <w:t xml:space="preserve"> </w:t>
      </w:r>
      <w:r>
        <w:t>municipality’s</w:t>
      </w:r>
      <w:r>
        <w:rPr>
          <w:spacing w:val="-6"/>
        </w:rPr>
        <w:t xml:space="preserve"> </w:t>
      </w:r>
      <w:r>
        <w:t>HEFSP</w:t>
      </w:r>
      <w:r>
        <w:rPr>
          <w:spacing w:val="-5"/>
        </w:rPr>
        <w:t xml:space="preserve"> </w:t>
      </w:r>
      <w:r>
        <w:t>by</w:t>
      </w:r>
      <w:r>
        <w:rPr>
          <w:spacing w:val="-5"/>
        </w:rPr>
        <w:t xml:space="preserve"> </w:t>
      </w:r>
      <w:r>
        <w:t>August</w:t>
      </w:r>
      <w:r>
        <w:rPr>
          <w:spacing w:val="-8"/>
        </w:rPr>
        <w:t xml:space="preserve"> </w:t>
      </w:r>
      <w:r>
        <w:t>31,</w:t>
      </w:r>
      <w:r>
        <w:rPr>
          <w:spacing w:val="-7"/>
        </w:rPr>
        <w:t xml:space="preserve"> </w:t>
      </w:r>
      <w:r>
        <w:t>2025,</w:t>
      </w:r>
      <w:r>
        <w:rPr>
          <w:spacing w:val="-5"/>
        </w:rPr>
        <w:t xml:space="preserve"> </w:t>
      </w:r>
      <w:r>
        <w:t>then</w:t>
      </w:r>
      <w:r>
        <w:rPr>
          <w:spacing w:val="-8"/>
        </w:rPr>
        <w:t xml:space="preserve"> </w:t>
      </w:r>
      <w:r>
        <w:t>the</w:t>
      </w:r>
      <w:r>
        <w:rPr>
          <w:spacing w:val="-5"/>
        </w:rPr>
        <w:t xml:space="preserve"> </w:t>
      </w:r>
      <w:r>
        <w:t>Program</w:t>
      </w:r>
      <w:r>
        <w:rPr>
          <w:spacing w:val="-8"/>
        </w:rPr>
        <w:t xml:space="preserve"> </w:t>
      </w:r>
      <w:r>
        <w:t>is</w:t>
      </w:r>
      <w:r>
        <w:rPr>
          <w:spacing w:val="-6"/>
        </w:rPr>
        <w:t xml:space="preserve"> </w:t>
      </w:r>
      <w:r>
        <w:t>directed</w:t>
      </w:r>
      <w:r>
        <w:rPr>
          <w:spacing w:val="-6"/>
        </w:rPr>
        <w:t xml:space="preserve"> </w:t>
      </w:r>
      <w:r>
        <w:t>to</w:t>
      </w:r>
      <w:r>
        <w:rPr>
          <w:spacing w:val="-5"/>
        </w:rPr>
        <w:t xml:space="preserve"> </w:t>
      </w:r>
      <w:r>
        <w:t>conduct a</w:t>
      </w:r>
      <w:r>
        <w:rPr>
          <w:spacing w:val="-17"/>
        </w:rPr>
        <w:t xml:space="preserve"> </w:t>
      </w:r>
      <w:r>
        <w:t>limited</w:t>
      </w:r>
      <w:r>
        <w:rPr>
          <w:spacing w:val="-17"/>
        </w:rPr>
        <w:t xml:space="preserve"> </w:t>
      </w:r>
      <w:r>
        <w:t>review</w:t>
      </w:r>
      <w:r>
        <w:rPr>
          <w:spacing w:val="-16"/>
        </w:rPr>
        <w:t xml:space="preserve"> </w:t>
      </w:r>
      <w:r>
        <w:t>of</w:t>
      </w:r>
      <w:r>
        <w:rPr>
          <w:spacing w:val="-17"/>
        </w:rPr>
        <w:t xml:space="preserve"> </w:t>
      </w:r>
      <w:r>
        <w:t>the</w:t>
      </w:r>
      <w:r>
        <w:rPr>
          <w:spacing w:val="-17"/>
        </w:rPr>
        <w:t xml:space="preserve"> </w:t>
      </w:r>
      <w:r>
        <w:t>HEFSP</w:t>
      </w:r>
      <w:r>
        <w:rPr>
          <w:spacing w:val="-17"/>
        </w:rPr>
        <w:t xml:space="preserve"> </w:t>
      </w:r>
      <w:r>
        <w:t>to</w:t>
      </w:r>
      <w:r>
        <w:rPr>
          <w:spacing w:val="-16"/>
        </w:rPr>
        <w:t xml:space="preserve"> </w:t>
      </w:r>
      <w:r>
        <w:t>confirm</w:t>
      </w:r>
      <w:r>
        <w:rPr>
          <w:spacing w:val="-17"/>
        </w:rPr>
        <w:t xml:space="preserve"> </w:t>
      </w:r>
      <w:r>
        <w:t>compliance</w:t>
      </w:r>
      <w:r>
        <w:rPr>
          <w:spacing w:val="-17"/>
        </w:rPr>
        <w:t xml:space="preserve"> </w:t>
      </w:r>
      <w:r>
        <w:t>with</w:t>
      </w:r>
      <w:r>
        <w:rPr>
          <w:spacing w:val="-16"/>
        </w:rPr>
        <w:t xml:space="preserve"> </w:t>
      </w:r>
      <w:r>
        <w:t>the</w:t>
      </w:r>
      <w:r>
        <w:rPr>
          <w:spacing w:val="-17"/>
        </w:rPr>
        <w:t xml:space="preserve"> </w:t>
      </w:r>
      <w:r>
        <w:t>FHA</w:t>
      </w:r>
      <w:r>
        <w:rPr>
          <w:spacing w:val="-17"/>
        </w:rPr>
        <w:t xml:space="preserve"> </w:t>
      </w:r>
      <w:r>
        <w:t>and</w:t>
      </w:r>
      <w:r>
        <w:rPr>
          <w:spacing w:val="-16"/>
        </w:rPr>
        <w:t xml:space="preserve"> </w:t>
      </w:r>
      <w:r>
        <w:t>Mount</w:t>
      </w:r>
      <w:r>
        <w:rPr>
          <w:spacing w:val="-17"/>
        </w:rPr>
        <w:t xml:space="preserve"> </w:t>
      </w:r>
      <w:r>
        <w:t xml:space="preserve">Laurel </w:t>
      </w:r>
      <w:r>
        <w:rPr>
          <w:spacing w:val="-2"/>
        </w:rPr>
        <w:t>Doctrine.</w:t>
      </w:r>
      <w:r>
        <w:rPr>
          <w:spacing w:val="-8"/>
        </w:rPr>
        <w:t xml:space="preserve"> </w:t>
      </w:r>
      <w:r>
        <w:rPr>
          <w:spacing w:val="-2"/>
        </w:rPr>
        <w:t>If</w:t>
      </w:r>
      <w:r>
        <w:rPr>
          <w:spacing w:val="-9"/>
        </w:rPr>
        <w:t xml:space="preserve"> </w:t>
      </w:r>
      <w:r>
        <w:rPr>
          <w:spacing w:val="-2"/>
        </w:rPr>
        <w:t>there</w:t>
      </w:r>
      <w:r>
        <w:rPr>
          <w:spacing w:val="-5"/>
        </w:rPr>
        <w:t xml:space="preserve"> </w:t>
      </w:r>
      <w:r>
        <w:rPr>
          <w:spacing w:val="-2"/>
        </w:rPr>
        <w:t>is</w:t>
      </w:r>
      <w:r>
        <w:rPr>
          <w:spacing w:val="-9"/>
        </w:rPr>
        <w:t xml:space="preserve"> </w:t>
      </w:r>
      <w:r>
        <w:rPr>
          <w:spacing w:val="-2"/>
        </w:rPr>
        <w:t>a</w:t>
      </w:r>
      <w:r>
        <w:rPr>
          <w:spacing w:val="-8"/>
        </w:rPr>
        <w:t xml:space="preserve"> </w:t>
      </w:r>
      <w:r>
        <w:rPr>
          <w:spacing w:val="-2"/>
        </w:rPr>
        <w:t>challenge</w:t>
      </w:r>
      <w:r>
        <w:rPr>
          <w:spacing w:val="-9"/>
        </w:rPr>
        <w:t xml:space="preserve"> </w:t>
      </w:r>
      <w:r>
        <w:rPr>
          <w:spacing w:val="-2"/>
        </w:rPr>
        <w:t>filed,</w:t>
      </w:r>
      <w:r>
        <w:rPr>
          <w:spacing w:val="-8"/>
        </w:rPr>
        <w:t xml:space="preserve"> </w:t>
      </w:r>
      <w:r>
        <w:rPr>
          <w:spacing w:val="-2"/>
        </w:rPr>
        <w:t>then</w:t>
      </w:r>
      <w:r>
        <w:rPr>
          <w:spacing w:val="-9"/>
        </w:rPr>
        <w:t xml:space="preserve"> </w:t>
      </w:r>
      <w:r>
        <w:rPr>
          <w:spacing w:val="-2"/>
        </w:rPr>
        <w:t>the</w:t>
      </w:r>
      <w:r>
        <w:rPr>
          <w:spacing w:val="-9"/>
        </w:rPr>
        <w:t xml:space="preserve"> </w:t>
      </w:r>
      <w:r>
        <w:rPr>
          <w:spacing w:val="-2"/>
        </w:rPr>
        <w:t>Program</w:t>
      </w:r>
      <w:r>
        <w:rPr>
          <w:spacing w:val="-9"/>
        </w:rPr>
        <w:t xml:space="preserve"> </w:t>
      </w:r>
      <w:r>
        <w:rPr>
          <w:spacing w:val="-2"/>
        </w:rPr>
        <w:t>mediates</w:t>
      </w:r>
      <w:r>
        <w:rPr>
          <w:spacing w:val="-9"/>
        </w:rPr>
        <w:t xml:space="preserve"> </w:t>
      </w:r>
      <w:r>
        <w:rPr>
          <w:spacing w:val="-2"/>
        </w:rPr>
        <w:t>between</w:t>
      </w:r>
      <w:r>
        <w:rPr>
          <w:spacing w:val="-9"/>
        </w:rPr>
        <w:t xml:space="preserve"> </w:t>
      </w:r>
      <w:r>
        <w:rPr>
          <w:spacing w:val="-2"/>
        </w:rPr>
        <w:t>the</w:t>
      </w:r>
      <w:r>
        <w:rPr>
          <w:spacing w:val="-9"/>
        </w:rPr>
        <w:t xml:space="preserve"> </w:t>
      </w:r>
      <w:r>
        <w:rPr>
          <w:spacing w:val="-2"/>
        </w:rPr>
        <w:t xml:space="preserve">objector </w:t>
      </w:r>
      <w:r>
        <w:t>and the municipality. Municipalities have until December 31, 2025, to (i) commit to revising their HEFSPs to comply with the changes requested in any challenge, (ii) provide an explanation as to why they will not make the requested changes, or (iii) both. If a challenge is not resolved by December 31, 2025, then the dispute is transferred</w:t>
      </w:r>
      <w:r>
        <w:rPr>
          <w:spacing w:val="-5"/>
        </w:rPr>
        <w:t xml:space="preserve"> </w:t>
      </w:r>
      <w:r>
        <w:t>to</w:t>
      </w:r>
      <w:r>
        <w:rPr>
          <w:spacing w:val="-5"/>
        </w:rPr>
        <w:t xml:space="preserve"> </w:t>
      </w:r>
      <w:r>
        <w:t>a</w:t>
      </w:r>
      <w:r>
        <w:rPr>
          <w:spacing w:val="-4"/>
        </w:rPr>
        <w:t xml:space="preserve"> </w:t>
      </w:r>
      <w:r>
        <w:t>county</w:t>
      </w:r>
      <w:r>
        <w:rPr>
          <w:spacing w:val="-5"/>
        </w:rPr>
        <w:t xml:space="preserve"> </w:t>
      </w:r>
      <w:r>
        <w:t>level</w:t>
      </w:r>
      <w:r>
        <w:rPr>
          <w:spacing w:val="-6"/>
        </w:rPr>
        <w:t xml:space="preserve"> </w:t>
      </w:r>
      <w:r>
        <w:t>housing</w:t>
      </w:r>
      <w:r>
        <w:rPr>
          <w:spacing w:val="-5"/>
        </w:rPr>
        <w:t xml:space="preserve"> </w:t>
      </w:r>
      <w:r>
        <w:t>judge</w:t>
      </w:r>
      <w:r>
        <w:rPr>
          <w:spacing w:val="-5"/>
        </w:rPr>
        <w:t xml:space="preserve"> </w:t>
      </w:r>
      <w:r>
        <w:t>who</w:t>
      </w:r>
      <w:r>
        <w:rPr>
          <w:spacing w:val="-5"/>
        </w:rPr>
        <w:t xml:space="preserve"> </w:t>
      </w:r>
      <w:r>
        <w:t>will</w:t>
      </w:r>
      <w:r>
        <w:rPr>
          <w:spacing w:val="-6"/>
        </w:rPr>
        <w:t xml:space="preserve"> </w:t>
      </w:r>
      <w:r>
        <w:t>adjudicate</w:t>
      </w:r>
      <w:r>
        <w:rPr>
          <w:spacing w:val="-5"/>
        </w:rPr>
        <w:t xml:space="preserve"> </w:t>
      </w:r>
      <w:r>
        <w:t>the</w:t>
      </w:r>
      <w:r>
        <w:rPr>
          <w:spacing w:val="-5"/>
        </w:rPr>
        <w:t xml:space="preserve"> </w:t>
      </w:r>
      <w:r>
        <w:t>matter</w:t>
      </w:r>
      <w:r>
        <w:rPr>
          <w:spacing w:val="-5"/>
        </w:rPr>
        <w:t xml:space="preserve"> </w:t>
      </w:r>
      <w:r>
        <w:t>through</w:t>
      </w:r>
      <w:r>
        <w:rPr>
          <w:spacing w:val="-6"/>
        </w:rPr>
        <w:t xml:space="preserve"> </w:t>
      </w:r>
      <w:r>
        <w:t>a “summary proceeding.”</w:t>
      </w:r>
    </w:p>
    <w:p w14:paraId="2204BAB5" w14:textId="42EDE76E" w:rsidR="00B95583" w:rsidRDefault="0099648A">
      <w:pPr>
        <w:pStyle w:val="BodyText"/>
        <w:spacing w:before="161" w:line="480" w:lineRule="auto"/>
        <w:ind w:left="119" w:right="115" w:firstLine="720"/>
      </w:pPr>
      <w:r>
        <w:t>Importantly, A-4 also sets forth what are, and are not, legitimate bas</w:t>
      </w:r>
      <w:r w:rsidR="001E4AD4">
        <w:t>i</w:t>
      </w:r>
      <w:r>
        <w:t>s to challenge</w:t>
      </w:r>
      <w:r>
        <w:rPr>
          <w:spacing w:val="-1"/>
        </w:rPr>
        <w:t xml:space="preserve"> </w:t>
      </w:r>
      <w:r>
        <w:t>a municipality’s</w:t>
      </w:r>
      <w:r>
        <w:rPr>
          <w:spacing w:val="-1"/>
        </w:rPr>
        <w:t xml:space="preserve"> </w:t>
      </w:r>
      <w:r>
        <w:t>HEFSP. A-4 provides</w:t>
      </w:r>
      <w:r>
        <w:rPr>
          <w:spacing w:val="-1"/>
        </w:rPr>
        <w:t xml:space="preserve"> </w:t>
      </w:r>
      <w:r>
        <w:t>that an</w:t>
      </w:r>
      <w:r>
        <w:rPr>
          <w:spacing w:val="-1"/>
        </w:rPr>
        <w:t xml:space="preserve"> </w:t>
      </w:r>
      <w:r>
        <w:t>interested</w:t>
      </w:r>
      <w:r>
        <w:rPr>
          <w:spacing w:val="-2"/>
        </w:rPr>
        <w:t xml:space="preserve"> </w:t>
      </w:r>
      <w:r>
        <w:t>party that files</w:t>
      </w:r>
      <w:r>
        <w:rPr>
          <w:spacing w:val="-1"/>
        </w:rPr>
        <w:t xml:space="preserve"> </w:t>
      </w:r>
      <w:r>
        <w:t>a challenge “shall specify with particularity which sites or elements of the municipal fair</w:t>
      </w:r>
      <w:r>
        <w:rPr>
          <w:spacing w:val="-17"/>
        </w:rPr>
        <w:t xml:space="preserve"> </w:t>
      </w:r>
      <w:r>
        <w:t>share</w:t>
      </w:r>
      <w:r>
        <w:rPr>
          <w:spacing w:val="-17"/>
        </w:rPr>
        <w:t xml:space="preserve"> </w:t>
      </w:r>
      <w:r>
        <w:t>plan</w:t>
      </w:r>
      <w:r>
        <w:rPr>
          <w:spacing w:val="-16"/>
        </w:rPr>
        <w:t xml:space="preserve"> </w:t>
      </w:r>
      <w:r>
        <w:t>do</w:t>
      </w:r>
      <w:r>
        <w:rPr>
          <w:spacing w:val="-17"/>
        </w:rPr>
        <w:t xml:space="preserve"> </w:t>
      </w:r>
      <w:r>
        <w:t>not</w:t>
      </w:r>
      <w:r>
        <w:rPr>
          <w:spacing w:val="-17"/>
        </w:rPr>
        <w:t xml:space="preserve"> </w:t>
      </w:r>
      <w:r>
        <w:t>comply</w:t>
      </w:r>
      <w:r>
        <w:rPr>
          <w:spacing w:val="-17"/>
        </w:rPr>
        <w:t xml:space="preserve"> </w:t>
      </w:r>
      <w:r>
        <w:t>with</w:t>
      </w:r>
      <w:r>
        <w:rPr>
          <w:spacing w:val="-16"/>
        </w:rPr>
        <w:t xml:space="preserve"> </w:t>
      </w:r>
      <w:r>
        <w:t>the</w:t>
      </w:r>
      <w:r>
        <w:rPr>
          <w:spacing w:val="-17"/>
        </w:rPr>
        <w:t xml:space="preserve"> </w:t>
      </w:r>
      <w:r>
        <w:t>Fair</w:t>
      </w:r>
      <w:r>
        <w:rPr>
          <w:spacing w:val="-17"/>
        </w:rPr>
        <w:t xml:space="preserve"> </w:t>
      </w:r>
      <w:r>
        <w:t>Housing</w:t>
      </w:r>
      <w:r>
        <w:rPr>
          <w:spacing w:val="-16"/>
        </w:rPr>
        <w:t xml:space="preserve"> </w:t>
      </w:r>
      <w:r>
        <w:t>Act</w:t>
      </w:r>
      <w:r>
        <w:rPr>
          <w:spacing w:val="-17"/>
        </w:rPr>
        <w:t xml:space="preserve"> </w:t>
      </w:r>
      <w:r>
        <w:t>or</w:t>
      </w:r>
      <w:r>
        <w:rPr>
          <w:spacing w:val="-17"/>
        </w:rPr>
        <w:t xml:space="preserve"> </w:t>
      </w:r>
      <w:r>
        <w:t>the</w:t>
      </w:r>
      <w:r>
        <w:rPr>
          <w:spacing w:val="-16"/>
        </w:rPr>
        <w:t xml:space="preserve"> </w:t>
      </w:r>
      <w:r>
        <w:t>Mount</w:t>
      </w:r>
      <w:r>
        <w:rPr>
          <w:spacing w:val="-17"/>
        </w:rPr>
        <w:t xml:space="preserve"> </w:t>
      </w:r>
      <w:r>
        <w:t>Laurel</w:t>
      </w:r>
      <w:r>
        <w:rPr>
          <w:spacing w:val="-17"/>
        </w:rPr>
        <w:t xml:space="preserve"> </w:t>
      </w:r>
      <w:r>
        <w:t>doctrine, and</w:t>
      </w:r>
      <w:r>
        <w:rPr>
          <w:spacing w:val="-6"/>
        </w:rPr>
        <w:t xml:space="preserve"> </w:t>
      </w:r>
      <w:r>
        <w:t>the</w:t>
      </w:r>
      <w:r>
        <w:rPr>
          <w:spacing w:val="-5"/>
        </w:rPr>
        <w:t xml:space="preserve"> </w:t>
      </w:r>
      <w:r>
        <w:t>basis</w:t>
      </w:r>
      <w:r>
        <w:rPr>
          <w:spacing w:val="-6"/>
        </w:rPr>
        <w:t xml:space="preserve"> </w:t>
      </w:r>
      <w:r>
        <w:t>for</w:t>
      </w:r>
      <w:r>
        <w:rPr>
          <w:spacing w:val="-6"/>
        </w:rPr>
        <w:t xml:space="preserve"> </w:t>
      </w:r>
      <w:r>
        <w:t>alleging</w:t>
      </w:r>
      <w:r>
        <w:rPr>
          <w:spacing w:val="-5"/>
        </w:rPr>
        <w:t xml:space="preserve"> </w:t>
      </w:r>
      <w:r>
        <w:t>such</w:t>
      </w:r>
      <w:r>
        <w:rPr>
          <w:spacing w:val="-6"/>
        </w:rPr>
        <w:t xml:space="preserve"> </w:t>
      </w:r>
      <w:r>
        <w:t>non-compliance.”</w:t>
      </w:r>
      <w:r>
        <w:rPr>
          <w:spacing w:val="-5"/>
        </w:rPr>
        <w:t xml:space="preserve"> </w:t>
      </w:r>
      <w:r>
        <w:t>Importantly,</w:t>
      </w:r>
      <w:r>
        <w:rPr>
          <w:spacing w:val="-5"/>
        </w:rPr>
        <w:t xml:space="preserve"> </w:t>
      </w:r>
      <w:r>
        <w:t>A-4</w:t>
      </w:r>
      <w:r>
        <w:rPr>
          <w:spacing w:val="-4"/>
        </w:rPr>
        <w:t xml:space="preserve"> </w:t>
      </w:r>
      <w:r>
        <w:t>provides</w:t>
      </w:r>
      <w:r>
        <w:rPr>
          <w:spacing w:val="-6"/>
        </w:rPr>
        <w:t xml:space="preserve"> </w:t>
      </w:r>
      <w:r>
        <w:t>that</w:t>
      </w:r>
      <w:r>
        <w:rPr>
          <w:spacing w:val="-5"/>
        </w:rPr>
        <w:t xml:space="preserve"> </w:t>
      </w:r>
      <w:r>
        <w:t>such a challenge “shall not include a claim that a site on real property proposed by the interested party is a better site than a site in the plan.” Consequently, when an interested party challenges a HEFSP, that challenge must be focused on the non- compliance of the existing plan, not that the interested party’s site is better.</w:t>
      </w:r>
    </w:p>
    <w:p w14:paraId="2A7B87B3" w14:textId="77777777" w:rsidR="00B95583" w:rsidRDefault="0099648A">
      <w:pPr>
        <w:pStyle w:val="BodyText"/>
        <w:spacing w:before="158" w:line="480" w:lineRule="auto"/>
        <w:ind w:left="119" w:right="116" w:firstLine="720"/>
      </w:pPr>
      <w:r>
        <w:t>A-4</w:t>
      </w:r>
      <w:r>
        <w:rPr>
          <w:spacing w:val="-10"/>
        </w:rPr>
        <w:t xml:space="preserve"> </w:t>
      </w:r>
      <w:r>
        <w:t>gives</w:t>
      </w:r>
      <w:r>
        <w:rPr>
          <w:spacing w:val="-12"/>
        </w:rPr>
        <w:t xml:space="preserve"> </w:t>
      </w:r>
      <w:r>
        <w:t>the</w:t>
      </w:r>
      <w:r>
        <w:rPr>
          <w:spacing w:val="-11"/>
        </w:rPr>
        <w:t xml:space="preserve"> </w:t>
      </w:r>
      <w:r>
        <w:t>Program</w:t>
      </w:r>
      <w:r>
        <w:rPr>
          <w:spacing w:val="-11"/>
        </w:rPr>
        <w:t xml:space="preserve"> </w:t>
      </w:r>
      <w:r>
        <w:t>wide</w:t>
      </w:r>
      <w:r>
        <w:rPr>
          <w:spacing w:val="-11"/>
        </w:rPr>
        <w:t xml:space="preserve"> </w:t>
      </w:r>
      <w:r>
        <w:t>latitude</w:t>
      </w:r>
      <w:r>
        <w:rPr>
          <w:spacing w:val="-11"/>
        </w:rPr>
        <w:t xml:space="preserve"> </w:t>
      </w:r>
      <w:r>
        <w:t>to</w:t>
      </w:r>
      <w:r>
        <w:rPr>
          <w:spacing w:val="-11"/>
        </w:rPr>
        <w:t xml:space="preserve"> </w:t>
      </w:r>
      <w:r>
        <w:t>“terminate</w:t>
      </w:r>
      <w:r>
        <w:rPr>
          <w:spacing w:val="-11"/>
        </w:rPr>
        <w:t xml:space="preserve"> </w:t>
      </w:r>
      <w:r>
        <w:t>[a</w:t>
      </w:r>
      <w:r>
        <w:rPr>
          <w:spacing w:val="-10"/>
        </w:rPr>
        <w:t xml:space="preserve"> </w:t>
      </w:r>
      <w:r>
        <w:t>municipality’s]</w:t>
      </w:r>
      <w:r>
        <w:rPr>
          <w:spacing w:val="-12"/>
        </w:rPr>
        <w:t xml:space="preserve"> </w:t>
      </w:r>
      <w:r>
        <w:t>immunity if</w:t>
      </w:r>
      <w:r>
        <w:rPr>
          <w:spacing w:val="-17"/>
        </w:rPr>
        <w:t xml:space="preserve"> </w:t>
      </w:r>
      <w:r>
        <w:t>it</w:t>
      </w:r>
      <w:r>
        <w:rPr>
          <w:spacing w:val="-17"/>
        </w:rPr>
        <w:t xml:space="preserve"> </w:t>
      </w:r>
      <w:r>
        <w:t>finds</w:t>
      </w:r>
      <w:r>
        <w:rPr>
          <w:spacing w:val="-16"/>
        </w:rPr>
        <w:t xml:space="preserve"> </w:t>
      </w:r>
      <w:r>
        <w:t>that</w:t>
      </w:r>
      <w:r>
        <w:rPr>
          <w:spacing w:val="-17"/>
        </w:rPr>
        <w:t xml:space="preserve"> </w:t>
      </w:r>
      <w:r>
        <w:t>the</w:t>
      </w:r>
      <w:r>
        <w:rPr>
          <w:spacing w:val="-17"/>
        </w:rPr>
        <w:t xml:space="preserve"> </w:t>
      </w:r>
      <w:r>
        <w:t>municipality</w:t>
      </w:r>
      <w:r>
        <w:rPr>
          <w:spacing w:val="-17"/>
        </w:rPr>
        <w:t xml:space="preserve"> </w:t>
      </w:r>
      <w:r>
        <w:t>is</w:t>
      </w:r>
      <w:r>
        <w:rPr>
          <w:spacing w:val="-16"/>
        </w:rPr>
        <w:t xml:space="preserve"> </w:t>
      </w:r>
      <w:r>
        <w:t>not</w:t>
      </w:r>
      <w:r>
        <w:rPr>
          <w:spacing w:val="-17"/>
        </w:rPr>
        <w:t xml:space="preserve"> </w:t>
      </w:r>
      <w:r>
        <w:t>determined</w:t>
      </w:r>
      <w:r>
        <w:rPr>
          <w:spacing w:val="-17"/>
        </w:rPr>
        <w:t xml:space="preserve"> </w:t>
      </w:r>
      <w:r>
        <w:t>to</w:t>
      </w:r>
      <w:r>
        <w:rPr>
          <w:spacing w:val="-16"/>
        </w:rPr>
        <w:t xml:space="preserve"> </w:t>
      </w:r>
      <w:r>
        <w:t>come</w:t>
      </w:r>
      <w:r>
        <w:rPr>
          <w:spacing w:val="-17"/>
        </w:rPr>
        <w:t xml:space="preserve"> </w:t>
      </w:r>
      <w:r>
        <w:t>into</w:t>
      </w:r>
      <w:r>
        <w:rPr>
          <w:spacing w:val="-17"/>
        </w:rPr>
        <w:t xml:space="preserve"> </w:t>
      </w:r>
      <w:r>
        <w:t>compliance</w:t>
      </w:r>
      <w:r>
        <w:rPr>
          <w:spacing w:val="-16"/>
        </w:rPr>
        <w:t xml:space="preserve"> </w:t>
      </w:r>
      <w:r>
        <w:t>at</w:t>
      </w:r>
      <w:r>
        <w:rPr>
          <w:spacing w:val="-17"/>
        </w:rPr>
        <w:t xml:space="preserve"> </w:t>
      </w:r>
      <w:r>
        <w:t>any</w:t>
      </w:r>
      <w:r>
        <w:rPr>
          <w:spacing w:val="-17"/>
        </w:rPr>
        <w:t xml:space="preserve"> </w:t>
      </w:r>
      <w:r>
        <w:t>point in the process.” This language effectively gives the Program the ability to look at a municipality and determine that, where a municipality is not really making a good</w:t>
      </w:r>
    </w:p>
    <w:p w14:paraId="60119E9D" w14:textId="77777777" w:rsidR="00B95583" w:rsidRDefault="00B95583">
      <w:pPr>
        <w:spacing w:line="480" w:lineRule="auto"/>
        <w:sectPr w:rsidR="00B95583">
          <w:pgSz w:w="12240" w:h="15840"/>
          <w:pgMar w:top="1360" w:right="1320" w:bottom="1260" w:left="1320" w:header="0" w:footer="1063" w:gutter="0"/>
          <w:cols w:space="720"/>
        </w:sectPr>
      </w:pPr>
    </w:p>
    <w:p w14:paraId="1EFEDCE8" w14:textId="77777777" w:rsidR="00B95583" w:rsidRDefault="0099648A">
      <w:pPr>
        <w:pStyle w:val="BodyText"/>
        <w:spacing w:before="81" w:line="480" w:lineRule="auto"/>
        <w:ind w:right="120"/>
      </w:pPr>
      <w:r>
        <w:lastRenderedPageBreak/>
        <w:t>faith effort, there is little likelihood that the municipality will voluntarily come into compliance. In those situations, A-4 permits the Program to terminate immunity.</w:t>
      </w:r>
    </w:p>
    <w:p w14:paraId="326D6B07" w14:textId="77777777" w:rsidR="00B95583" w:rsidRDefault="0099648A">
      <w:pPr>
        <w:pStyle w:val="BodyText"/>
        <w:spacing w:before="161" w:line="480" w:lineRule="auto"/>
        <w:ind w:left="119" w:right="115" w:firstLine="720"/>
      </w:pPr>
      <w:r>
        <w:t>A</w:t>
      </w:r>
      <w:r>
        <w:rPr>
          <w:spacing w:val="-1"/>
        </w:rPr>
        <w:t xml:space="preserve"> </w:t>
      </w:r>
      <w:r>
        <w:t>municipality or interested party can</w:t>
      </w:r>
      <w:r>
        <w:rPr>
          <w:spacing w:val="-1"/>
        </w:rPr>
        <w:t xml:space="preserve"> </w:t>
      </w:r>
      <w:r>
        <w:t>appeal</w:t>
      </w:r>
      <w:r>
        <w:rPr>
          <w:spacing w:val="-2"/>
        </w:rPr>
        <w:t xml:space="preserve"> </w:t>
      </w:r>
      <w:r>
        <w:t>the</w:t>
      </w:r>
      <w:r>
        <w:rPr>
          <w:spacing w:val="-1"/>
        </w:rPr>
        <w:t xml:space="preserve"> </w:t>
      </w:r>
      <w:r>
        <w:t>Program’s decisions related to affordable housing calculations. However, because A-4 directs the AOC to create the appellate mechanism, there is a palpable lack of clarity on this issue. However, and importantly, A-4 makes it clear that an appeal of the Program’s determination with</w:t>
      </w:r>
      <w:r>
        <w:rPr>
          <w:spacing w:val="-3"/>
        </w:rPr>
        <w:t xml:space="preserve"> </w:t>
      </w:r>
      <w:r>
        <w:t>respect</w:t>
      </w:r>
      <w:r>
        <w:rPr>
          <w:spacing w:val="-3"/>
        </w:rPr>
        <w:t xml:space="preserve"> </w:t>
      </w:r>
      <w:r>
        <w:t>to</w:t>
      </w:r>
      <w:r>
        <w:rPr>
          <w:spacing w:val="-3"/>
        </w:rPr>
        <w:t xml:space="preserve"> </w:t>
      </w:r>
      <w:r>
        <w:t>need</w:t>
      </w:r>
      <w:r>
        <w:rPr>
          <w:spacing w:val="-4"/>
        </w:rPr>
        <w:t xml:space="preserve"> </w:t>
      </w:r>
      <w:r>
        <w:t>calculation,</w:t>
      </w:r>
      <w:r>
        <w:rPr>
          <w:spacing w:val="-2"/>
        </w:rPr>
        <w:t xml:space="preserve"> </w:t>
      </w:r>
      <w:r>
        <w:t>does</w:t>
      </w:r>
      <w:r>
        <w:rPr>
          <w:spacing w:val="-4"/>
        </w:rPr>
        <w:t xml:space="preserve"> </w:t>
      </w:r>
      <w:r>
        <w:t>not</w:t>
      </w:r>
      <w:r>
        <w:rPr>
          <w:spacing w:val="-3"/>
        </w:rPr>
        <w:t xml:space="preserve"> </w:t>
      </w:r>
      <w:r>
        <w:t>“pause”</w:t>
      </w:r>
      <w:r>
        <w:rPr>
          <w:spacing w:val="-3"/>
        </w:rPr>
        <w:t xml:space="preserve"> </w:t>
      </w:r>
      <w:r>
        <w:t>a</w:t>
      </w:r>
      <w:r>
        <w:rPr>
          <w:spacing w:val="-2"/>
        </w:rPr>
        <w:t xml:space="preserve"> </w:t>
      </w:r>
      <w:r>
        <w:t>municipality’s</w:t>
      </w:r>
      <w:r>
        <w:rPr>
          <w:spacing w:val="-1"/>
        </w:rPr>
        <w:t xml:space="preserve"> </w:t>
      </w:r>
      <w:r>
        <w:t>deadline</w:t>
      </w:r>
      <w:r>
        <w:rPr>
          <w:spacing w:val="-3"/>
        </w:rPr>
        <w:t xml:space="preserve"> </w:t>
      </w:r>
      <w:r>
        <w:t>to</w:t>
      </w:r>
      <w:r>
        <w:rPr>
          <w:spacing w:val="-3"/>
        </w:rPr>
        <w:t xml:space="preserve"> </w:t>
      </w:r>
      <w:r>
        <w:t>file</w:t>
      </w:r>
      <w:r>
        <w:rPr>
          <w:spacing w:val="-3"/>
        </w:rPr>
        <w:t xml:space="preserve"> </w:t>
      </w:r>
      <w:r>
        <w:t>its HEFSP</w:t>
      </w:r>
      <w:r>
        <w:rPr>
          <w:spacing w:val="-15"/>
        </w:rPr>
        <w:t xml:space="preserve"> </w:t>
      </w:r>
      <w:r>
        <w:t>and</w:t>
      </w:r>
      <w:r>
        <w:rPr>
          <w:spacing w:val="-17"/>
        </w:rPr>
        <w:t xml:space="preserve"> </w:t>
      </w:r>
      <w:r>
        <w:t>implementing</w:t>
      </w:r>
      <w:r>
        <w:rPr>
          <w:spacing w:val="-14"/>
        </w:rPr>
        <w:t xml:space="preserve"> </w:t>
      </w:r>
      <w:r>
        <w:t>ordinances</w:t>
      </w:r>
      <w:r>
        <w:rPr>
          <w:spacing w:val="-17"/>
        </w:rPr>
        <w:t xml:space="preserve"> </w:t>
      </w:r>
      <w:r>
        <w:t>with</w:t>
      </w:r>
      <w:r>
        <w:rPr>
          <w:spacing w:val="-14"/>
        </w:rPr>
        <w:t xml:space="preserve"> </w:t>
      </w:r>
      <w:r>
        <w:t>the</w:t>
      </w:r>
      <w:r>
        <w:rPr>
          <w:spacing w:val="-16"/>
        </w:rPr>
        <w:t xml:space="preserve"> </w:t>
      </w:r>
      <w:r>
        <w:t>Program.</w:t>
      </w:r>
      <w:r>
        <w:rPr>
          <w:spacing w:val="-15"/>
        </w:rPr>
        <w:t xml:space="preserve"> </w:t>
      </w:r>
      <w:r>
        <w:t>Thus,</w:t>
      </w:r>
      <w:r>
        <w:rPr>
          <w:spacing w:val="-15"/>
        </w:rPr>
        <w:t xml:space="preserve"> </w:t>
      </w:r>
      <w:r>
        <w:t>even</w:t>
      </w:r>
      <w:r>
        <w:rPr>
          <w:spacing w:val="-16"/>
        </w:rPr>
        <w:t xml:space="preserve"> </w:t>
      </w:r>
      <w:r>
        <w:t>if</w:t>
      </w:r>
      <w:r>
        <w:rPr>
          <w:spacing w:val="-17"/>
        </w:rPr>
        <w:t xml:space="preserve"> </w:t>
      </w:r>
      <w:r>
        <w:t>a</w:t>
      </w:r>
      <w:r>
        <w:rPr>
          <w:spacing w:val="-14"/>
        </w:rPr>
        <w:t xml:space="preserve"> </w:t>
      </w:r>
      <w:r>
        <w:t>municipality disagrees with the Program’s decision it will be required to continue with the Program or risk losing immunity.</w:t>
      </w:r>
    </w:p>
    <w:p w14:paraId="2AAFAE9B" w14:textId="77777777" w:rsidR="00B95583" w:rsidRDefault="0099648A">
      <w:pPr>
        <w:pStyle w:val="BodyText"/>
        <w:spacing w:before="159" w:line="480" w:lineRule="auto"/>
        <w:ind w:left="119" w:right="114" w:firstLine="720"/>
      </w:pPr>
      <w:r>
        <w:t>Municipalities also have the option to forego the Program and seek a “compliance certification” by way of a declaratory judgement (“DJ”) action filed with a county level housing judge.</w:t>
      </w:r>
      <w:r>
        <w:rPr>
          <w:spacing w:val="40"/>
        </w:rPr>
        <w:t xml:space="preserve"> </w:t>
      </w:r>
      <w:r>
        <w:t>This would be akin to seeking a judgement of compliance and repose—something which municipalities have regularly done in the 3</w:t>
      </w:r>
      <w:proofErr w:type="spellStart"/>
      <w:r>
        <w:rPr>
          <w:position w:val="6"/>
          <w:sz w:val="16"/>
        </w:rPr>
        <w:t>rd</w:t>
      </w:r>
      <w:proofErr w:type="spellEnd"/>
      <w:r>
        <w:rPr>
          <w:spacing w:val="40"/>
          <w:position w:val="6"/>
          <w:sz w:val="16"/>
        </w:rPr>
        <w:t xml:space="preserve"> </w:t>
      </w:r>
      <w:r>
        <w:t>round. However, unlike those municipalities in the 3</w:t>
      </w:r>
      <w:proofErr w:type="spellStart"/>
      <w:r>
        <w:rPr>
          <w:position w:val="6"/>
          <w:sz w:val="16"/>
        </w:rPr>
        <w:t>rd</w:t>
      </w:r>
      <w:proofErr w:type="spellEnd"/>
      <w:r>
        <w:rPr>
          <w:spacing w:val="40"/>
          <w:position w:val="6"/>
          <w:sz w:val="16"/>
        </w:rPr>
        <w:t xml:space="preserve"> </w:t>
      </w:r>
      <w:r>
        <w:t>round, and unlike municipalities that participate in the Program in the 4</w:t>
      </w:r>
      <w:proofErr w:type="spellStart"/>
      <w:r>
        <w:rPr>
          <w:position w:val="6"/>
          <w:sz w:val="16"/>
        </w:rPr>
        <w:t>th</w:t>
      </w:r>
      <w:proofErr w:type="spellEnd"/>
      <w:r>
        <w:rPr>
          <w:spacing w:val="80"/>
          <w:position w:val="6"/>
          <w:sz w:val="16"/>
        </w:rPr>
        <w:t xml:space="preserve"> </w:t>
      </w:r>
      <w:r>
        <w:t>round, a municipality that seeks</w:t>
      </w:r>
      <w:r>
        <w:rPr>
          <w:spacing w:val="-1"/>
        </w:rPr>
        <w:t xml:space="preserve"> </w:t>
      </w:r>
      <w:r>
        <w:t>“a compliance</w:t>
      </w:r>
      <w:r>
        <w:rPr>
          <w:spacing w:val="-1"/>
        </w:rPr>
        <w:t xml:space="preserve"> </w:t>
      </w:r>
      <w:r>
        <w:t>certification” from a county level</w:t>
      </w:r>
      <w:r>
        <w:rPr>
          <w:spacing w:val="-2"/>
        </w:rPr>
        <w:t xml:space="preserve"> </w:t>
      </w:r>
      <w:r>
        <w:t>housing judge under A4 would not be immune from builder’s remedy lawsuits during the pendency of the action. Consequently,</w:t>
      </w:r>
      <w:r>
        <w:rPr>
          <w:spacing w:val="-12"/>
        </w:rPr>
        <w:t xml:space="preserve"> </w:t>
      </w:r>
      <w:r>
        <w:t>while</w:t>
      </w:r>
      <w:r>
        <w:rPr>
          <w:spacing w:val="-13"/>
        </w:rPr>
        <w:t xml:space="preserve"> </w:t>
      </w:r>
      <w:r>
        <w:t>this</w:t>
      </w:r>
      <w:r>
        <w:rPr>
          <w:spacing w:val="-13"/>
        </w:rPr>
        <w:t xml:space="preserve"> </w:t>
      </w:r>
      <w:r>
        <w:t>is</w:t>
      </w:r>
      <w:r>
        <w:rPr>
          <w:spacing w:val="-13"/>
        </w:rPr>
        <w:t xml:space="preserve"> </w:t>
      </w:r>
      <w:r>
        <w:t>an</w:t>
      </w:r>
      <w:r>
        <w:rPr>
          <w:spacing w:val="-13"/>
        </w:rPr>
        <w:t xml:space="preserve"> </w:t>
      </w:r>
      <w:r>
        <w:t>option</w:t>
      </w:r>
      <w:r>
        <w:rPr>
          <w:spacing w:val="-13"/>
        </w:rPr>
        <w:t xml:space="preserve"> </w:t>
      </w:r>
      <w:r>
        <w:t>for</w:t>
      </w:r>
      <w:r>
        <w:rPr>
          <w:spacing w:val="-13"/>
        </w:rPr>
        <w:t xml:space="preserve"> </w:t>
      </w:r>
      <w:r>
        <w:t>municipalities</w:t>
      </w:r>
      <w:r>
        <w:rPr>
          <w:spacing w:val="-11"/>
        </w:rPr>
        <w:t xml:space="preserve"> </w:t>
      </w:r>
      <w:r>
        <w:t>in</w:t>
      </w:r>
      <w:r>
        <w:rPr>
          <w:spacing w:val="-13"/>
        </w:rPr>
        <w:t xml:space="preserve"> </w:t>
      </w:r>
      <w:r>
        <w:t>lieu</w:t>
      </w:r>
      <w:r>
        <w:rPr>
          <w:spacing w:val="-13"/>
        </w:rPr>
        <w:t xml:space="preserve"> </w:t>
      </w:r>
      <w:r>
        <w:t>of</w:t>
      </w:r>
      <w:r>
        <w:rPr>
          <w:spacing w:val="-13"/>
        </w:rPr>
        <w:t xml:space="preserve"> </w:t>
      </w:r>
      <w:r>
        <w:t>the</w:t>
      </w:r>
      <w:r>
        <w:rPr>
          <w:spacing w:val="-13"/>
        </w:rPr>
        <w:t xml:space="preserve"> </w:t>
      </w:r>
      <w:r>
        <w:t>Program,</w:t>
      </w:r>
      <w:r>
        <w:rPr>
          <w:spacing w:val="-12"/>
        </w:rPr>
        <w:t xml:space="preserve"> </w:t>
      </w:r>
      <w:r>
        <w:t>it</w:t>
      </w:r>
      <w:r>
        <w:rPr>
          <w:spacing w:val="-12"/>
        </w:rPr>
        <w:t xml:space="preserve"> </w:t>
      </w:r>
      <w:r>
        <w:t>does have drawbacks.</w:t>
      </w:r>
    </w:p>
    <w:p w14:paraId="30CA3997" w14:textId="77777777" w:rsidR="00B95583" w:rsidRDefault="00B95583">
      <w:pPr>
        <w:spacing w:line="480" w:lineRule="auto"/>
        <w:sectPr w:rsidR="00B95583">
          <w:pgSz w:w="12240" w:h="15840"/>
          <w:pgMar w:top="1360" w:right="1320" w:bottom="1260" w:left="1320" w:header="0" w:footer="1063" w:gutter="0"/>
          <w:cols w:space="720"/>
        </w:sectPr>
      </w:pPr>
    </w:p>
    <w:p w14:paraId="5910220E" w14:textId="77777777" w:rsidR="00B95583" w:rsidRDefault="0099648A">
      <w:pPr>
        <w:pStyle w:val="Heading1"/>
        <w:numPr>
          <w:ilvl w:val="0"/>
          <w:numId w:val="2"/>
        </w:numPr>
        <w:tabs>
          <w:tab w:val="left" w:pos="448"/>
        </w:tabs>
        <w:ind w:left="448" w:hanging="328"/>
        <w:jc w:val="left"/>
      </w:pPr>
      <w:r>
        <w:lastRenderedPageBreak/>
        <w:t>Calculating</w:t>
      </w:r>
      <w:r>
        <w:rPr>
          <w:spacing w:val="-12"/>
        </w:rPr>
        <w:t xml:space="preserve"> </w:t>
      </w:r>
      <w:r>
        <w:t>Need.</w:t>
      </w:r>
      <w:r>
        <w:rPr>
          <w:spacing w:val="-10"/>
        </w:rPr>
        <w:t xml:space="preserve"> </w:t>
      </w:r>
      <w:r>
        <w:t>Methodology</w:t>
      </w:r>
      <w:r>
        <w:rPr>
          <w:spacing w:val="-10"/>
        </w:rPr>
        <w:t xml:space="preserve"> </w:t>
      </w:r>
      <w:r>
        <w:t>and</w:t>
      </w:r>
      <w:r>
        <w:rPr>
          <w:spacing w:val="-10"/>
        </w:rPr>
        <w:t xml:space="preserve"> </w:t>
      </w:r>
      <w:r>
        <w:t>Caps</w:t>
      </w:r>
      <w:r>
        <w:rPr>
          <w:spacing w:val="-11"/>
        </w:rPr>
        <w:t xml:space="preserve"> </w:t>
      </w:r>
      <w:r>
        <w:t>on</w:t>
      </w:r>
      <w:r>
        <w:rPr>
          <w:spacing w:val="-10"/>
        </w:rPr>
        <w:t xml:space="preserve"> </w:t>
      </w:r>
      <w:r>
        <w:t>Prospective</w:t>
      </w:r>
      <w:r>
        <w:rPr>
          <w:spacing w:val="-12"/>
        </w:rPr>
        <w:t xml:space="preserve"> </w:t>
      </w:r>
      <w:r>
        <w:rPr>
          <w:spacing w:val="-2"/>
        </w:rPr>
        <w:t>Need.</w:t>
      </w:r>
    </w:p>
    <w:p w14:paraId="5AF768DF" w14:textId="77777777" w:rsidR="00B95583" w:rsidRDefault="00B95583">
      <w:pPr>
        <w:pStyle w:val="BodyText"/>
        <w:spacing w:before="3"/>
        <w:ind w:left="0"/>
        <w:jc w:val="left"/>
        <w:rPr>
          <w:b/>
          <w:sz w:val="37"/>
        </w:rPr>
      </w:pPr>
    </w:p>
    <w:p w14:paraId="607F2187" w14:textId="77777777" w:rsidR="00B95583" w:rsidRDefault="0099648A">
      <w:pPr>
        <w:pStyle w:val="BodyText"/>
        <w:spacing w:line="480" w:lineRule="auto"/>
        <w:ind w:right="116" w:firstLine="720"/>
      </w:pPr>
      <w:r>
        <w:t>A-4 adopts a single methodology for determining prospective need, i.e. the amount of affordable housing required to be created during the next 10 year period- in this case the 4</w:t>
      </w:r>
      <w:proofErr w:type="spellStart"/>
      <w:r>
        <w:rPr>
          <w:position w:val="6"/>
          <w:sz w:val="16"/>
        </w:rPr>
        <w:t>th</w:t>
      </w:r>
      <w:proofErr w:type="spellEnd"/>
      <w:r>
        <w:rPr>
          <w:spacing w:val="34"/>
          <w:position w:val="6"/>
          <w:sz w:val="16"/>
        </w:rPr>
        <w:t xml:space="preserve"> </w:t>
      </w:r>
      <w:r>
        <w:t>round. In large part, A-4 adopts the methodology established in the</w:t>
      </w:r>
      <w:r>
        <w:rPr>
          <w:spacing w:val="37"/>
        </w:rPr>
        <w:t xml:space="preserve"> </w:t>
      </w:r>
      <w:r>
        <w:t>unpublished</w:t>
      </w:r>
      <w:r>
        <w:rPr>
          <w:spacing w:val="39"/>
        </w:rPr>
        <w:t xml:space="preserve"> </w:t>
      </w:r>
      <w:r>
        <w:t>trial</w:t>
      </w:r>
      <w:r>
        <w:rPr>
          <w:spacing w:val="41"/>
        </w:rPr>
        <w:t xml:space="preserve"> </w:t>
      </w:r>
      <w:r>
        <w:t>level</w:t>
      </w:r>
      <w:r>
        <w:rPr>
          <w:spacing w:val="38"/>
        </w:rPr>
        <w:t xml:space="preserve"> </w:t>
      </w:r>
      <w:r>
        <w:t>decision</w:t>
      </w:r>
      <w:r>
        <w:rPr>
          <w:spacing w:val="39"/>
        </w:rPr>
        <w:t xml:space="preserve"> </w:t>
      </w:r>
      <w:r>
        <w:rPr>
          <w:u w:val="single"/>
        </w:rPr>
        <w:t>In</w:t>
      </w:r>
      <w:r>
        <w:rPr>
          <w:spacing w:val="39"/>
          <w:u w:val="single"/>
        </w:rPr>
        <w:t xml:space="preserve"> </w:t>
      </w:r>
      <w:r>
        <w:rPr>
          <w:u w:val="single"/>
        </w:rPr>
        <w:t>Re</w:t>
      </w:r>
      <w:r>
        <w:rPr>
          <w:spacing w:val="42"/>
          <w:u w:val="single"/>
        </w:rPr>
        <w:t xml:space="preserve"> </w:t>
      </w:r>
      <w:r>
        <w:rPr>
          <w:u w:val="single"/>
        </w:rPr>
        <w:t>Municipality</w:t>
      </w:r>
      <w:r>
        <w:rPr>
          <w:spacing w:val="40"/>
          <w:u w:val="single"/>
        </w:rPr>
        <w:t xml:space="preserve"> </w:t>
      </w:r>
      <w:r>
        <w:rPr>
          <w:u w:val="single"/>
        </w:rPr>
        <w:t>of</w:t>
      </w:r>
      <w:r>
        <w:rPr>
          <w:spacing w:val="39"/>
          <w:u w:val="single"/>
        </w:rPr>
        <w:t xml:space="preserve"> </w:t>
      </w:r>
      <w:r>
        <w:rPr>
          <w:u w:val="single"/>
        </w:rPr>
        <w:t>Princeton</w:t>
      </w:r>
      <w:r>
        <w:t>.</w:t>
      </w:r>
      <w:r>
        <w:rPr>
          <w:spacing w:val="40"/>
        </w:rPr>
        <w:t xml:space="preserve"> </w:t>
      </w:r>
      <w:r>
        <w:t>Docket</w:t>
      </w:r>
      <w:r>
        <w:rPr>
          <w:spacing w:val="40"/>
        </w:rPr>
        <w:t xml:space="preserve"> </w:t>
      </w:r>
      <w:r>
        <w:rPr>
          <w:spacing w:val="-4"/>
        </w:rPr>
        <w:t>No.:</w:t>
      </w:r>
    </w:p>
    <w:p w14:paraId="0836352D" w14:textId="3F4EDF61" w:rsidR="00B95583" w:rsidRDefault="0099648A">
      <w:pPr>
        <w:pStyle w:val="BodyText"/>
        <w:spacing w:before="1" w:line="480" w:lineRule="auto"/>
        <w:ind w:right="114"/>
      </w:pPr>
      <w:r>
        <w:t>MER-L-1550-15 (Law Div. 2018), which also formed the basis for prospective need calculations throughout the state. As set forth a</w:t>
      </w:r>
      <w:r w:rsidR="002F1436">
        <w:t>bove, the DCA has published</w:t>
      </w:r>
      <w:r>
        <w:t xml:space="preserve"> an advisory report on municipal prospective need obligations using the methodology</w:t>
      </w:r>
      <w:r>
        <w:rPr>
          <w:spacing w:val="-5"/>
        </w:rPr>
        <w:t xml:space="preserve"> </w:t>
      </w:r>
      <w:r>
        <w:t>set</w:t>
      </w:r>
      <w:r>
        <w:rPr>
          <w:spacing w:val="-5"/>
        </w:rPr>
        <w:t xml:space="preserve"> </w:t>
      </w:r>
      <w:r>
        <w:t>forth</w:t>
      </w:r>
      <w:r>
        <w:rPr>
          <w:spacing w:val="-3"/>
        </w:rPr>
        <w:t xml:space="preserve"> </w:t>
      </w:r>
      <w:r>
        <w:t>in</w:t>
      </w:r>
      <w:r>
        <w:rPr>
          <w:spacing w:val="-6"/>
        </w:rPr>
        <w:t xml:space="preserve"> </w:t>
      </w:r>
      <w:r>
        <w:t>A-4.</w:t>
      </w:r>
      <w:r>
        <w:rPr>
          <w:spacing w:val="-5"/>
        </w:rPr>
        <w:t xml:space="preserve"> </w:t>
      </w:r>
      <w:r>
        <w:t>Municipalities</w:t>
      </w:r>
      <w:r>
        <w:rPr>
          <w:spacing w:val="-6"/>
        </w:rPr>
        <w:t xml:space="preserve"> </w:t>
      </w:r>
      <w:r>
        <w:t>can</w:t>
      </w:r>
      <w:r>
        <w:rPr>
          <w:spacing w:val="-6"/>
        </w:rPr>
        <w:t xml:space="preserve"> </w:t>
      </w:r>
      <w:r>
        <w:t>adopt</w:t>
      </w:r>
      <w:r>
        <w:rPr>
          <w:spacing w:val="-5"/>
        </w:rPr>
        <w:t xml:space="preserve"> </w:t>
      </w:r>
      <w:r>
        <w:t>this</w:t>
      </w:r>
      <w:r>
        <w:rPr>
          <w:spacing w:val="-6"/>
        </w:rPr>
        <w:t xml:space="preserve"> </w:t>
      </w:r>
      <w:r>
        <w:t>number</w:t>
      </w:r>
      <w:r>
        <w:rPr>
          <w:spacing w:val="-6"/>
        </w:rPr>
        <w:t xml:space="preserve"> </w:t>
      </w:r>
      <w:r>
        <w:t>or,</w:t>
      </w:r>
      <w:r>
        <w:rPr>
          <w:spacing w:val="-5"/>
        </w:rPr>
        <w:t xml:space="preserve"> </w:t>
      </w:r>
      <w:r>
        <w:t>alternatively, they can adopt a different number based their own calculations, provided that the same methodology is employed.</w:t>
      </w:r>
      <w:r>
        <w:rPr>
          <w:spacing w:val="40"/>
        </w:rPr>
        <w:t xml:space="preserve"> </w:t>
      </w:r>
      <w:r>
        <w:t>This essentially limits municipalities to supplementing or revising the underlying demographic and development data.</w:t>
      </w:r>
    </w:p>
    <w:p w14:paraId="22A2BFDD" w14:textId="77777777" w:rsidR="00B95583" w:rsidRDefault="0099648A">
      <w:pPr>
        <w:pStyle w:val="BodyText"/>
        <w:spacing w:before="158" w:line="480" w:lineRule="auto"/>
        <w:ind w:left="119" w:right="115" w:firstLine="720"/>
      </w:pPr>
      <w:r>
        <w:t>A-4, like the FHA previously, creates a cap on prospective need. Specifically, A-4</w:t>
      </w:r>
      <w:r>
        <w:rPr>
          <w:spacing w:val="-9"/>
        </w:rPr>
        <w:t xml:space="preserve"> </w:t>
      </w:r>
      <w:r>
        <w:t>provides</w:t>
      </w:r>
      <w:r>
        <w:rPr>
          <w:spacing w:val="-11"/>
        </w:rPr>
        <w:t xml:space="preserve"> </w:t>
      </w:r>
      <w:r>
        <w:t>that</w:t>
      </w:r>
      <w:r>
        <w:rPr>
          <w:spacing w:val="-10"/>
        </w:rPr>
        <w:t xml:space="preserve"> </w:t>
      </w:r>
      <w:r>
        <w:t>a</w:t>
      </w:r>
      <w:r>
        <w:rPr>
          <w:spacing w:val="-9"/>
        </w:rPr>
        <w:t xml:space="preserve"> </w:t>
      </w:r>
      <w:r>
        <w:t>municipality’s</w:t>
      </w:r>
      <w:r>
        <w:rPr>
          <w:spacing w:val="-11"/>
        </w:rPr>
        <w:t xml:space="preserve"> </w:t>
      </w:r>
      <w:r>
        <w:t>prospective</w:t>
      </w:r>
      <w:r>
        <w:rPr>
          <w:spacing w:val="-10"/>
        </w:rPr>
        <w:t xml:space="preserve"> </w:t>
      </w:r>
      <w:r>
        <w:t>need</w:t>
      </w:r>
      <w:r>
        <w:rPr>
          <w:spacing w:val="-11"/>
        </w:rPr>
        <w:t xml:space="preserve"> </w:t>
      </w:r>
      <w:r>
        <w:t>must</w:t>
      </w:r>
      <w:r>
        <w:rPr>
          <w:spacing w:val="-12"/>
        </w:rPr>
        <w:t xml:space="preserve"> </w:t>
      </w:r>
      <w:r>
        <w:t>be</w:t>
      </w:r>
      <w:r>
        <w:rPr>
          <w:spacing w:val="-10"/>
        </w:rPr>
        <w:t xml:space="preserve"> </w:t>
      </w:r>
      <w:r>
        <w:t>set</w:t>
      </w:r>
      <w:r>
        <w:rPr>
          <w:spacing w:val="-12"/>
        </w:rPr>
        <w:t xml:space="preserve"> </w:t>
      </w:r>
      <w:r>
        <w:t>at</w:t>
      </w:r>
      <w:r>
        <w:rPr>
          <w:spacing w:val="-12"/>
        </w:rPr>
        <w:t xml:space="preserve"> </w:t>
      </w:r>
      <w:r>
        <w:t>the</w:t>
      </w:r>
      <w:r>
        <w:rPr>
          <w:spacing w:val="-10"/>
        </w:rPr>
        <w:t xml:space="preserve"> </w:t>
      </w:r>
      <w:r>
        <w:t>lower</w:t>
      </w:r>
      <w:r>
        <w:rPr>
          <w:spacing w:val="-11"/>
        </w:rPr>
        <w:t xml:space="preserve"> </w:t>
      </w:r>
      <w:r>
        <w:t>of:</w:t>
      </w:r>
      <w:r>
        <w:rPr>
          <w:spacing w:val="-12"/>
        </w:rPr>
        <w:t xml:space="preserve"> </w:t>
      </w:r>
      <w:r>
        <w:t>1)</w:t>
      </w:r>
      <w:r>
        <w:rPr>
          <w:spacing w:val="-11"/>
        </w:rPr>
        <w:t xml:space="preserve"> </w:t>
      </w:r>
      <w:r>
        <w:t>one thousand</w:t>
      </w:r>
      <w:r>
        <w:rPr>
          <w:spacing w:val="-16"/>
        </w:rPr>
        <w:t xml:space="preserve"> </w:t>
      </w:r>
      <w:r>
        <w:t>(1,000)</w:t>
      </w:r>
      <w:r>
        <w:rPr>
          <w:spacing w:val="-16"/>
        </w:rPr>
        <w:t xml:space="preserve"> </w:t>
      </w:r>
      <w:r>
        <w:t>housing</w:t>
      </w:r>
      <w:r>
        <w:rPr>
          <w:spacing w:val="-14"/>
        </w:rPr>
        <w:t xml:space="preserve"> </w:t>
      </w:r>
      <w:r>
        <w:t>units,</w:t>
      </w:r>
      <w:r>
        <w:rPr>
          <w:spacing w:val="-14"/>
        </w:rPr>
        <w:t xml:space="preserve"> </w:t>
      </w:r>
      <w:r>
        <w:t>after</w:t>
      </w:r>
      <w:r>
        <w:rPr>
          <w:spacing w:val="-16"/>
        </w:rPr>
        <w:t xml:space="preserve"> </w:t>
      </w:r>
      <w:r>
        <w:t>the</w:t>
      </w:r>
      <w:r>
        <w:rPr>
          <w:spacing w:val="-15"/>
        </w:rPr>
        <w:t xml:space="preserve"> </w:t>
      </w:r>
      <w:r>
        <w:t>application</w:t>
      </w:r>
      <w:r>
        <w:rPr>
          <w:spacing w:val="-15"/>
        </w:rPr>
        <w:t xml:space="preserve"> </w:t>
      </w:r>
      <w:r>
        <w:t>of</w:t>
      </w:r>
      <w:r>
        <w:rPr>
          <w:spacing w:val="-16"/>
        </w:rPr>
        <w:t xml:space="preserve"> </w:t>
      </w:r>
      <w:r>
        <w:t>an</w:t>
      </w:r>
      <w:r>
        <w:rPr>
          <w:spacing w:val="-15"/>
        </w:rPr>
        <w:t xml:space="preserve"> </w:t>
      </w:r>
      <w:r>
        <w:t>excess</w:t>
      </w:r>
      <w:r>
        <w:rPr>
          <w:spacing w:val="-13"/>
        </w:rPr>
        <w:t xml:space="preserve"> </w:t>
      </w:r>
      <w:r>
        <w:t>credits;</w:t>
      </w:r>
      <w:r>
        <w:rPr>
          <w:spacing w:val="-14"/>
        </w:rPr>
        <w:t xml:space="preserve"> </w:t>
      </w:r>
      <w:r>
        <w:t>or</w:t>
      </w:r>
      <w:r>
        <w:rPr>
          <w:spacing w:val="-16"/>
        </w:rPr>
        <w:t xml:space="preserve"> </w:t>
      </w:r>
      <w:r>
        <w:t>2)</w:t>
      </w:r>
      <w:r>
        <w:rPr>
          <w:spacing w:val="-16"/>
        </w:rPr>
        <w:t xml:space="preserve"> </w:t>
      </w:r>
      <w:r>
        <w:t>twenty percent (20%) of the total number of households in a municipality according to the most recent federal decennial census. Furthermore, A-4 specifically provides that unfulfilled obligations from prior rounds does not count towards the cap on prospective need.</w:t>
      </w:r>
    </w:p>
    <w:p w14:paraId="58A743D2" w14:textId="77777777" w:rsidR="00B95583" w:rsidRDefault="00B95583">
      <w:pPr>
        <w:spacing w:line="480" w:lineRule="auto"/>
        <w:sectPr w:rsidR="00B95583">
          <w:pgSz w:w="12240" w:h="15840"/>
          <w:pgMar w:top="1360" w:right="1320" w:bottom="1260" w:left="1320" w:header="0" w:footer="1063" w:gutter="0"/>
          <w:cols w:space="720"/>
        </w:sectPr>
      </w:pPr>
    </w:p>
    <w:p w14:paraId="23E1B485" w14:textId="64896478" w:rsidR="00B95583" w:rsidRDefault="0099648A">
      <w:pPr>
        <w:pStyle w:val="Heading1"/>
        <w:numPr>
          <w:ilvl w:val="0"/>
          <w:numId w:val="2"/>
        </w:numPr>
        <w:tabs>
          <w:tab w:val="left" w:pos="546"/>
        </w:tabs>
        <w:ind w:left="546" w:hanging="426"/>
        <w:jc w:val="left"/>
      </w:pPr>
      <w:r>
        <w:lastRenderedPageBreak/>
        <w:t>Meeting</w:t>
      </w:r>
      <w:r>
        <w:rPr>
          <w:spacing w:val="-11"/>
        </w:rPr>
        <w:t xml:space="preserve"> </w:t>
      </w:r>
      <w:r>
        <w:t>the</w:t>
      </w:r>
      <w:r>
        <w:rPr>
          <w:spacing w:val="-12"/>
        </w:rPr>
        <w:t xml:space="preserve"> </w:t>
      </w:r>
      <w:r>
        <w:t>Obligation.</w:t>
      </w:r>
      <w:r>
        <w:rPr>
          <w:spacing w:val="-11"/>
        </w:rPr>
        <w:t xml:space="preserve"> </w:t>
      </w:r>
      <w:r>
        <w:t>Redevelopment</w:t>
      </w:r>
      <w:r w:rsidR="00C14EBD">
        <w:rPr>
          <w:spacing w:val="-12"/>
        </w:rPr>
        <w:t>,</w:t>
      </w:r>
      <w:r>
        <w:rPr>
          <w:spacing w:val="-12"/>
        </w:rPr>
        <w:t xml:space="preserve"> </w:t>
      </w:r>
      <w:r>
        <w:t>Bonus</w:t>
      </w:r>
      <w:r>
        <w:rPr>
          <w:spacing w:val="-13"/>
        </w:rPr>
        <w:t xml:space="preserve"> </w:t>
      </w:r>
      <w:r>
        <w:rPr>
          <w:spacing w:val="-2"/>
        </w:rPr>
        <w:t>Credits</w:t>
      </w:r>
      <w:r w:rsidR="00C14EBD">
        <w:rPr>
          <w:spacing w:val="-2"/>
        </w:rPr>
        <w:t xml:space="preserve"> &amp; Set-Asides.</w:t>
      </w:r>
    </w:p>
    <w:p w14:paraId="24D71501" w14:textId="77777777" w:rsidR="00B95583" w:rsidRDefault="00B95583">
      <w:pPr>
        <w:pStyle w:val="BodyText"/>
        <w:spacing w:before="3"/>
        <w:ind w:left="0"/>
        <w:jc w:val="left"/>
        <w:rPr>
          <w:b/>
          <w:sz w:val="37"/>
        </w:rPr>
      </w:pPr>
    </w:p>
    <w:p w14:paraId="6A4D942A" w14:textId="77777777" w:rsidR="00B95583" w:rsidRDefault="0099648A">
      <w:pPr>
        <w:pStyle w:val="BodyText"/>
        <w:spacing w:line="480" w:lineRule="auto"/>
        <w:ind w:right="115" w:firstLine="720"/>
      </w:pPr>
      <w:r>
        <w:t>A-4 will have a significant impact on how many urban and suburban municipalities utilize their redevelopment powers to satisfy their respective affordable housing obligations. Previously, it was generally understood that the municipal obligation was limited to zoning for a reasonable opportunity for the private market to develop the municipality’s fair share of affordable housing; with more active involvement in the development process by the municipality only when the</w:t>
      </w:r>
      <w:r>
        <w:rPr>
          <w:spacing w:val="-13"/>
        </w:rPr>
        <w:t xml:space="preserve"> </w:t>
      </w:r>
      <w:r>
        <w:t>municipality</w:t>
      </w:r>
      <w:r>
        <w:rPr>
          <w:spacing w:val="-12"/>
        </w:rPr>
        <w:t xml:space="preserve"> </w:t>
      </w:r>
      <w:r>
        <w:t>sought</w:t>
      </w:r>
      <w:r>
        <w:rPr>
          <w:spacing w:val="-12"/>
        </w:rPr>
        <w:t xml:space="preserve"> </w:t>
      </w:r>
      <w:r>
        <w:t>to</w:t>
      </w:r>
      <w:r>
        <w:rPr>
          <w:spacing w:val="-13"/>
        </w:rPr>
        <w:t xml:space="preserve"> </w:t>
      </w:r>
      <w:r>
        <w:t>prevent</w:t>
      </w:r>
      <w:r>
        <w:rPr>
          <w:spacing w:val="-12"/>
        </w:rPr>
        <w:t xml:space="preserve"> </w:t>
      </w:r>
      <w:r>
        <w:t>or</w:t>
      </w:r>
      <w:r>
        <w:rPr>
          <w:spacing w:val="-13"/>
        </w:rPr>
        <w:t xml:space="preserve"> </w:t>
      </w:r>
      <w:r>
        <w:t>limit</w:t>
      </w:r>
      <w:r>
        <w:rPr>
          <w:spacing w:val="-15"/>
        </w:rPr>
        <w:t xml:space="preserve"> </w:t>
      </w:r>
      <w:r>
        <w:t>specific</w:t>
      </w:r>
      <w:r>
        <w:rPr>
          <w:spacing w:val="-13"/>
        </w:rPr>
        <w:t xml:space="preserve"> </w:t>
      </w:r>
      <w:r>
        <w:t>proposed</w:t>
      </w:r>
      <w:r>
        <w:rPr>
          <w:spacing w:val="-14"/>
        </w:rPr>
        <w:t xml:space="preserve"> </w:t>
      </w:r>
      <w:r>
        <w:t>developments.</w:t>
      </w:r>
      <w:r>
        <w:rPr>
          <w:spacing w:val="-12"/>
        </w:rPr>
        <w:t xml:space="preserve"> </w:t>
      </w:r>
      <w:r>
        <w:t>However, A-4’s mandate to affirmatively account for redevelopment opportunities signals an enhanced</w:t>
      </w:r>
      <w:r>
        <w:rPr>
          <w:spacing w:val="-4"/>
        </w:rPr>
        <w:t xml:space="preserve"> </w:t>
      </w:r>
      <w:r>
        <w:t>obligation</w:t>
      </w:r>
      <w:r>
        <w:rPr>
          <w:spacing w:val="-3"/>
        </w:rPr>
        <w:t xml:space="preserve"> </w:t>
      </w:r>
      <w:r>
        <w:t>of</w:t>
      </w:r>
      <w:r>
        <w:rPr>
          <w:spacing w:val="-4"/>
        </w:rPr>
        <w:t xml:space="preserve"> </w:t>
      </w:r>
      <w:r>
        <w:t>municipalities</w:t>
      </w:r>
      <w:r>
        <w:rPr>
          <w:spacing w:val="-4"/>
        </w:rPr>
        <w:t xml:space="preserve"> </w:t>
      </w:r>
      <w:r>
        <w:t>to</w:t>
      </w:r>
      <w:r>
        <w:rPr>
          <w:spacing w:val="-3"/>
        </w:rPr>
        <w:t xml:space="preserve"> </w:t>
      </w:r>
      <w:r>
        <w:t>ensure</w:t>
      </w:r>
      <w:r>
        <w:rPr>
          <w:spacing w:val="-3"/>
        </w:rPr>
        <w:t xml:space="preserve"> </w:t>
      </w:r>
      <w:r>
        <w:t>the</w:t>
      </w:r>
      <w:r>
        <w:rPr>
          <w:spacing w:val="-3"/>
        </w:rPr>
        <w:t xml:space="preserve"> </w:t>
      </w:r>
      <w:r>
        <w:t>development</w:t>
      </w:r>
      <w:r>
        <w:rPr>
          <w:spacing w:val="-3"/>
        </w:rPr>
        <w:t xml:space="preserve"> </w:t>
      </w:r>
      <w:r>
        <w:t>affordable</w:t>
      </w:r>
      <w:r>
        <w:rPr>
          <w:spacing w:val="-3"/>
        </w:rPr>
        <w:t xml:space="preserve"> </w:t>
      </w:r>
      <w:r>
        <w:t>housing.</w:t>
      </w:r>
    </w:p>
    <w:p w14:paraId="3D39F011" w14:textId="77777777" w:rsidR="00B95583" w:rsidRDefault="0099648A">
      <w:pPr>
        <w:pStyle w:val="BodyText"/>
        <w:spacing w:before="161" w:line="480" w:lineRule="auto"/>
        <w:ind w:left="119" w:right="114" w:firstLine="720"/>
      </w:pPr>
      <w:r>
        <w:t>The clearest signal for this enhanced obligation and corresponding redevelopment directive is the imposition of the redevelopment planning process directly into each municipality’s HEFSP. A-4 revises the Municipal Land Use Law (“MLUL”) with respect to the mandatory elements of the HEFSP, to require that municipalities must “plan for infrastructure expansion and rehabilitation and conversion or redevelopment of unused or underutilized real property, including existing structures, if necessary to assure the achievement of the municipality's fair share of low- and moderate-income housing.” Coupled with the longstanding initiatives that many municipalities have incorporated into their existing master plans,</w:t>
      </w:r>
      <w:r>
        <w:rPr>
          <w:spacing w:val="-14"/>
        </w:rPr>
        <w:t xml:space="preserve"> </w:t>
      </w:r>
      <w:r>
        <w:t>specifically</w:t>
      </w:r>
      <w:r>
        <w:rPr>
          <w:spacing w:val="-14"/>
        </w:rPr>
        <w:t xml:space="preserve"> </w:t>
      </w:r>
      <w:r>
        <w:t>identifying</w:t>
      </w:r>
      <w:r>
        <w:rPr>
          <w:spacing w:val="-16"/>
        </w:rPr>
        <w:t xml:space="preserve"> </w:t>
      </w:r>
      <w:r>
        <w:t>struggling</w:t>
      </w:r>
      <w:r>
        <w:rPr>
          <w:spacing w:val="-14"/>
        </w:rPr>
        <w:t xml:space="preserve"> </w:t>
      </w:r>
      <w:r>
        <w:t>commercial</w:t>
      </w:r>
      <w:r>
        <w:rPr>
          <w:spacing w:val="-13"/>
        </w:rPr>
        <w:t xml:space="preserve"> </w:t>
      </w:r>
      <w:r>
        <w:t>districts</w:t>
      </w:r>
      <w:r>
        <w:rPr>
          <w:spacing w:val="-15"/>
        </w:rPr>
        <w:t xml:space="preserve"> </w:t>
      </w:r>
      <w:r>
        <w:t>and/or</w:t>
      </w:r>
      <w:r>
        <w:rPr>
          <w:spacing w:val="-15"/>
        </w:rPr>
        <w:t xml:space="preserve"> </w:t>
      </w:r>
      <w:r>
        <w:t>emphasizing</w:t>
      </w:r>
      <w:r>
        <w:rPr>
          <w:spacing w:val="-14"/>
        </w:rPr>
        <w:t xml:space="preserve"> </w:t>
      </w:r>
      <w:r>
        <w:t>the revitalization of existing downtowns, this provision of A-4 opens the door for challenges</w:t>
      </w:r>
      <w:r>
        <w:rPr>
          <w:spacing w:val="31"/>
        </w:rPr>
        <w:t xml:space="preserve"> </w:t>
      </w:r>
      <w:r>
        <w:t>to</w:t>
      </w:r>
      <w:r>
        <w:rPr>
          <w:spacing w:val="33"/>
        </w:rPr>
        <w:t xml:space="preserve"> </w:t>
      </w:r>
      <w:r>
        <w:t>fair</w:t>
      </w:r>
      <w:r>
        <w:rPr>
          <w:spacing w:val="32"/>
        </w:rPr>
        <w:t xml:space="preserve"> </w:t>
      </w:r>
      <w:r>
        <w:t>share</w:t>
      </w:r>
      <w:r>
        <w:rPr>
          <w:spacing w:val="33"/>
        </w:rPr>
        <w:t xml:space="preserve"> </w:t>
      </w:r>
      <w:r>
        <w:t>plans</w:t>
      </w:r>
      <w:r>
        <w:rPr>
          <w:spacing w:val="33"/>
        </w:rPr>
        <w:t xml:space="preserve"> </w:t>
      </w:r>
      <w:r>
        <w:t>in</w:t>
      </w:r>
      <w:r>
        <w:rPr>
          <w:spacing w:val="34"/>
        </w:rPr>
        <w:t xml:space="preserve"> </w:t>
      </w:r>
      <w:r>
        <w:t>municipalities</w:t>
      </w:r>
      <w:r>
        <w:rPr>
          <w:spacing w:val="33"/>
        </w:rPr>
        <w:t xml:space="preserve"> </w:t>
      </w:r>
      <w:r>
        <w:t>that</w:t>
      </w:r>
      <w:r>
        <w:rPr>
          <w:spacing w:val="33"/>
        </w:rPr>
        <w:t xml:space="preserve"> </w:t>
      </w:r>
      <w:r>
        <w:t>have</w:t>
      </w:r>
      <w:r>
        <w:rPr>
          <w:spacing w:val="33"/>
        </w:rPr>
        <w:t xml:space="preserve"> </w:t>
      </w:r>
      <w:r>
        <w:t>a</w:t>
      </w:r>
      <w:r>
        <w:rPr>
          <w:spacing w:val="32"/>
        </w:rPr>
        <w:t xml:space="preserve"> </w:t>
      </w:r>
      <w:r>
        <w:t>history</w:t>
      </w:r>
      <w:r>
        <w:rPr>
          <w:spacing w:val="34"/>
        </w:rPr>
        <w:t xml:space="preserve"> </w:t>
      </w:r>
      <w:r>
        <w:t>of</w:t>
      </w:r>
      <w:r>
        <w:rPr>
          <w:spacing w:val="34"/>
        </w:rPr>
        <w:t xml:space="preserve"> </w:t>
      </w:r>
      <w:r>
        <w:rPr>
          <w:spacing w:val="-2"/>
        </w:rPr>
        <w:t>identifying</w:t>
      </w:r>
    </w:p>
    <w:p w14:paraId="72BB89B9" w14:textId="77777777" w:rsidR="00B95583" w:rsidRDefault="00B95583">
      <w:pPr>
        <w:spacing w:line="480" w:lineRule="auto"/>
        <w:sectPr w:rsidR="00B95583">
          <w:pgSz w:w="12240" w:h="15840"/>
          <w:pgMar w:top="1360" w:right="1320" w:bottom="1260" w:left="1320" w:header="0" w:footer="1063" w:gutter="0"/>
          <w:cols w:space="720"/>
        </w:sectPr>
      </w:pPr>
    </w:p>
    <w:p w14:paraId="1F9F7E56" w14:textId="77777777" w:rsidR="00B95583" w:rsidRDefault="0099648A">
      <w:pPr>
        <w:pStyle w:val="BodyText"/>
        <w:spacing w:before="81" w:line="480" w:lineRule="auto"/>
        <w:ind w:right="114"/>
      </w:pPr>
      <w:r>
        <w:lastRenderedPageBreak/>
        <w:t>underutilized retail/commercial properties in their planning documents, but whose fair share plan does not include multifamily/mixed use development into these downtown and commercial districts. Moreover, the explicit mandate to plan for the necessary infrastructure improvements to accommodate future growth may, over time,</w:t>
      </w:r>
      <w:r>
        <w:rPr>
          <w:spacing w:val="-17"/>
        </w:rPr>
        <w:t xml:space="preserve"> </w:t>
      </w:r>
      <w:r>
        <w:t>erode</w:t>
      </w:r>
      <w:r>
        <w:rPr>
          <w:spacing w:val="-17"/>
        </w:rPr>
        <w:t xml:space="preserve"> </w:t>
      </w:r>
      <w:r>
        <w:t>the</w:t>
      </w:r>
      <w:r>
        <w:rPr>
          <w:spacing w:val="-15"/>
        </w:rPr>
        <w:t xml:space="preserve"> </w:t>
      </w:r>
      <w:r>
        <w:t>validity</w:t>
      </w:r>
      <w:r>
        <w:rPr>
          <w:spacing w:val="-16"/>
        </w:rPr>
        <w:t xml:space="preserve"> </w:t>
      </w:r>
      <w:r>
        <w:t>of</w:t>
      </w:r>
      <w:r>
        <w:rPr>
          <w:spacing w:val="-17"/>
        </w:rPr>
        <w:t xml:space="preserve"> </w:t>
      </w:r>
      <w:r>
        <w:t>a</w:t>
      </w:r>
      <w:r>
        <w:rPr>
          <w:spacing w:val="-15"/>
        </w:rPr>
        <w:t xml:space="preserve"> </w:t>
      </w:r>
      <w:r>
        <w:t>municipality’s</w:t>
      </w:r>
      <w:r>
        <w:rPr>
          <w:spacing w:val="-17"/>
        </w:rPr>
        <w:t xml:space="preserve"> </w:t>
      </w:r>
      <w:r>
        <w:t>claim</w:t>
      </w:r>
      <w:r>
        <w:rPr>
          <w:spacing w:val="-16"/>
        </w:rPr>
        <w:t xml:space="preserve"> </w:t>
      </w:r>
      <w:r>
        <w:t>that</w:t>
      </w:r>
      <w:r>
        <w:rPr>
          <w:spacing w:val="-16"/>
        </w:rPr>
        <w:t xml:space="preserve"> </w:t>
      </w:r>
      <w:r>
        <w:t>certain</w:t>
      </w:r>
      <w:r>
        <w:rPr>
          <w:spacing w:val="-17"/>
        </w:rPr>
        <w:t xml:space="preserve"> </w:t>
      </w:r>
      <w:r>
        <w:t>areas</w:t>
      </w:r>
      <w:r>
        <w:rPr>
          <w:spacing w:val="-17"/>
        </w:rPr>
        <w:t xml:space="preserve"> </w:t>
      </w:r>
      <w:r>
        <w:t>cannot</w:t>
      </w:r>
      <w:r>
        <w:rPr>
          <w:spacing w:val="-16"/>
        </w:rPr>
        <w:t xml:space="preserve"> </w:t>
      </w:r>
      <w:r>
        <w:t>be</w:t>
      </w:r>
      <w:r>
        <w:rPr>
          <w:spacing w:val="-16"/>
        </w:rPr>
        <w:t xml:space="preserve"> </w:t>
      </w:r>
      <w:r>
        <w:t xml:space="preserve">upzoned </w:t>
      </w:r>
      <w:r>
        <w:rPr>
          <w:spacing w:val="-2"/>
        </w:rPr>
        <w:t>due</w:t>
      </w:r>
      <w:r>
        <w:rPr>
          <w:spacing w:val="-8"/>
        </w:rPr>
        <w:t xml:space="preserve"> </w:t>
      </w:r>
      <w:r>
        <w:rPr>
          <w:spacing w:val="-2"/>
        </w:rPr>
        <w:t>to</w:t>
      </w:r>
      <w:r>
        <w:rPr>
          <w:spacing w:val="-8"/>
        </w:rPr>
        <w:t xml:space="preserve"> </w:t>
      </w:r>
      <w:r>
        <w:rPr>
          <w:spacing w:val="-2"/>
        </w:rPr>
        <w:t>lack</w:t>
      </w:r>
      <w:r>
        <w:rPr>
          <w:spacing w:val="-8"/>
        </w:rPr>
        <w:t xml:space="preserve"> </w:t>
      </w:r>
      <w:r>
        <w:rPr>
          <w:spacing w:val="-2"/>
        </w:rPr>
        <w:t>of</w:t>
      </w:r>
      <w:r>
        <w:rPr>
          <w:spacing w:val="-8"/>
        </w:rPr>
        <w:t xml:space="preserve"> </w:t>
      </w:r>
      <w:r>
        <w:rPr>
          <w:spacing w:val="-2"/>
        </w:rPr>
        <w:t>sewer</w:t>
      </w:r>
      <w:r>
        <w:rPr>
          <w:spacing w:val="-9"/>
        </w:rPr>
        <w:t xml:space="preserve"> </w:t>
      </w:r>
      <w:r>
        <w:rPr>
          <w:spacing w:val="-2"/>
        </w:rPr>
        <w:t>capacity,</w:t>
      </w:r>
      <w:r>
        <w:rPr>
          <w:spacing w:val="-7"/>
        </w:rPr>
        <w:t xml:space="preserve"> </w:t>
      </w:r>
      <w:r>
        <w:rPr>
          <w:spacing w:val="-2"/>
        </w:rPr>
        <w:t>poor</w:t>
      </w:r>
      <w:r>
        <w:rPr>
          <w:spacing w:val="-9"/>
        </w:rPr>
        <w:t xml:space="preserve"> </w:t>
      </w:r>
      <w:r>
        <w:rPr>
          <w:spacing w:val="-2"/>
        </w:rPr>
        <w:t>storm</w:t>
      </w:r>
      <w:r>
        <w:rPr>
          <w:spacing w:val="-8"/>
        </w:rPr>
        <w:t xml:space="preserve"> </w:t>
      </w:r>
      <w:r>
        <w:rPr>
          <w:spacing w:val="-2"/>
        </w:rPr>
        <w:t>water</w:t>
      </w:r>
      <w:r>
        <w:rPr>
          <w:spacing w:val="-9"/>
        </w:rPr>
        <w:t xml:space="preserve"> </w:t>
      </w:r>
      <w:r>
        <w:rPr>
          <w:spacing w:val="-2"/>
        </w:rPr>
        <w:t>management,</w:t>
      </w:r>
      <w:r>
        <w:rPr>
          <w:spacing w:val="-7"/>
        </w:rPr>
        <w:t xml:space="preserve"> </w:t>
      </w:r>
      <w:r>
        <w:rPr>
          <w:spacing w:val="-2"/>
        </w:rPr>
        <w:t>or</w:t>
      </w:r>
      <w:r>
        <w:rPr>
          <w:spacing w:val="-9"/>
        </w:rPr>
        <w:t xml:space="preserve"> </w:t>
      </w:r>
      <w:r>
        <w:rPr>
          <w:spacing w:val="-2"/>
        </w:rPr>
        <w:t>poor</w:t>
      </w:r>
      <w:r>
        <w:rPr>
          <w:spacing w:val="-9"/>
        </w:rPr>
        <w:t xml:space="preserve"> </w:t>
      </w:r>
      <w:r>
        <w:rPr>
          <w:spacing w:val="-2"/>
        </w:rPr>
        <w:t>traffic</w:t>
      </w:r>
      <w:r>
        <w:rPr>
          <w:spacing w:val="-9"/>
        </w:rPr>
        <w:t xml:space="preserve"> </w:t>
      </w:r>
      <w:r>
        <w:rPr>
          <w:spacing w:val="-2"/>
        </w:rPr>
        <w:t xml:space="preserve">conditions </w:t>
      </w:r>
      <w:r>
        <w:t>– as challengers to a HEFSP can argue that a municipality’s failure to address longstanding infrastructure issues is demonstrative of recalcitrance to construct affordable housing. By emphasizing the need for redevelopment as a necessary component of</w:t>
      </w:r>
      <w:r>
        <w:rPr>
          <w:spacing w:val="-1"/>
        </w:rPr>
        <w:t xml:space="preserve"> </w:t>
      </w:r>
      <w:r>
        <w:t>the</w:t>
      </w:r>
      <w:r>
        <w:rPr>
          <w:spacing w:val="-1"/>
        </w:rPr>
        <w:t xml:space="preserve"> </w:t>
      </w:r>
      <w:r>
        <w:t>HESFP, municipalities</w:t>
      </w:r>
      <w:r>
        <w:rPr>
          <w:spacing w:val="-4"/>
        </w:rPr>
        <w:t xml:space="preserve"> </w:t>
      </w:r>
      <w:r>
        <w:t>are</w:t>
      </w:r>
      <w:r>
        <w:rPr>
          <w:spacing w:val="-1"/>
        </w:rPr>
        <w:t xml:space="preserve"> </w:t>
      </w:r>
      <w:r>
        <w:t>being</w:t>
      </w:r>
      <w:r>
        <w:rPr>
          <w:spacing w:val="-2"/>
        </w:rPr>
        <w:t xml:space="preserve"> </w:t>
      </w:r>
      <w:r>
        <w:t>set up</w:t>
      </w:r>
      <w:r>
        <w:rPr>
          <w:spacing w:val="-2"/>
        </w:rPr>
        <w:t xml:space="preserve"> </w:t>
      </w:r>
      <w:r>
        <w:t>to</w:t>
      </w:r>
      <w:r>
        <w:rPr>
          <w:spacing w:val="-3"/>
        </w:rPr>
        <w:t xml:space="preserve"> </w:t>
      </w:r>
      <w:r>
        <w:t>take</w:t>
      </w:r>
      <w:r>
        <w:rPr>
          <w:spacing w:val="-1"/>
        </w:rPr>
        <w:t xml:space="preserve"> </w:t>
      </w:r>
      <w:r>
        <w:t>a</w:t>
      </w:r>
      <w:r>
        <w:rPr>
          <w:spacing w:val="-2"/>
        </w:rPr>
        <w:t xml:space="preserve"> </w:t>
      </w:r>
      <w:r>
        <w:t>more</w:t>
      </w:r>
      <w:r>
        <w:rPr>
          <w:spacing w:val="-1"/>
        </w:rPr>
        <w:t xml:space="preserve"> </w:t>
      </w:r>
      <w:r>
        <w:t>affirmative role in the planning and development of affordable housing.</w:t>
      </w:r>
    </w:p>
    <w:p w14:paraId="44BE7418" w14:textId="6E886A93" w:rsidR="00B95583" w:rsidRDefault="0099648A">
      <w:pPr>
        <w:pStyle w:val="BodyText"/>
        <w:spacing w:before="159" w:line="480" w:lineRule="auto"/>
        <w:ind w:left="119" w:right="115" w:firstLine="720"/>
      </w:pPr>
      <w:r>
        <w:t>The</w:t>
      </w:r>
      <w:r>
        <w:rPr>
          <w:spacing w:val="-2"/>
        </w:rPr>
        <w:t xml:space="preserve"> </w:t>
      </w:r>
      <w:r>
        <w:t>second</w:t>
      </w:r>
      <w:r>
        <w:rPr>
          <w:spacing w:val="-3"/>
        </w:rPr>
        <w:t xml:space="preserve"> </w:t>
      </w:r>
      <w:r>
        <w:t>significant</w:t>
      </w:r>
      <w:r>
        <w:rPr>
          <w:spacing w:val="-1"/>
        </w:rPr>
        <w:t xml:space="preserve"> </w:t>
      </w:r>
      <w:r>
        <w:t>emphasis</w:t>
      </w:r>
      <w:r>
        <w:rPr>
          <w:spacing w:val="-2"/>
        </w:rPr>
        <w:t xml:space="preserve"> </w:t>
      </w:r>
      <w:r>
        <w:t>on</w:t>
      </w:r>
      <w:r>
        <w:rPr>
          <w:spacing w:val="-2"/>
        </w:rPr>
        <w:t xml:space="preserve"> </w:t>
      </w:r>
      <w:r>
        <w:t>redevelopment</w:t>
      </w:r>
      <w:r>
        <w:rPr>
          <w:spacing w:val="-1"/>
        </w:rPr>
        <w:t xml:space="preserve"> </w:t>
      </w:r>
      <w:r>
        <w:t>relates</w:t>
      </w:r>
      <w:r>
        <w:rPr>
          <w:spacing w:val="-2"/>
        </w:rPr>
        <w:t xml:space="preserve"> </w:t>
      </w:r>
      <w:r>
        <w:t>to</w:t>
      </w:r>
      <w:r>
        <w:rPr>
          <w:spacing w:val="-2"/>
        </w:rPr>
        <w:t xml:space="preserve"> </w:t>
      </w:r>
      <w:r>
        <w:t>the</w:t>
      </w:r>
      <w:r>
        <w:rPr>
          <w:spacing w:val="-4"/>
        </w:rPr>
        <w:t xml:space="preserve"> </w:t>
      </w:r>
      <w:r>
        <w:t>treatment</w:t>
      </w:r>
      <w:r>
        <w:rPr>
          <w:spacing w:val="-1"/>
        </w:rPr>
        <w:t xml:space="preserve"> </w:t>
      </w:r>
      <w:r>
        <w:t>of unmet need in the 4</w:t>
      </w:r>
      <w:proofErr w:type="spellStart"/>
      <w:r>
        <w:rPr>
          <w:position w:val="6"/>
          <w:sz w:val="16"/>
        </w:rPr>
        <w:t>th</w:t>
      </w:r>
      <w:proofErr w:type="spellEnd"/>
      <w:r>
        <w:rPr>
          <w:spacing w:val="39"/>
          <w:position w:val="6"/>
          <w:sz w:val="16"/>
        </w:rPr>
        <w:t xml:space="preserve"> </w:t>
      </w:r>
      <w:r>
        <w:t>and subsequent rounds. In the prior rounds, development of affordable housing was presumptively contemplated to be provided primarily on vacant land in developing communities. Thus, communities were considered “fully developed,” and obligations would be reduced, when there were limited parcels of vacant land that were large enough to accommodate at least five (5) multifamily units.</w:t>
      </w:r>
      <w:r>
        <w:rPr>
          <w:spacing w:val="40"/>
        </w:rPr>
        <w:t xml:space="preserve"> </w:t>
      </w:r>
      <w:r>
        <w:t>In most suburban municipalities, that required an acre of land to satisfy the presumptive density under COAH’s regulations. Those regulations did not account for demand or underutilization of developed parcels.</w:t>
      </w:r>
    </w:p>
    <w:p w14:paraId="5978A82A" w14:textId="575BF888" w:rsidR="00B95583" w:rsidRDefault="0099648A">
      <w:pPr>
        <w:pStyle w:val="BodyText"/>
        <w:spacing w:before="161" w:line="480" w:lineRule="auto"/>
        <w:ind w:left="119" w:right="117" w:firstLine="720"/>
      </w:pPr>
      <w:r>
        <w:t>Consequently, in prior rounds, municipalities could limit their prospective need obligations through vacant land adjustments. Once the prospective need was</w:t>
      </w:r>
    </w:p>
    <w:p w14:paraId="04D83F3C" w14:textId="77777777" w:rsidR="00B95583" w:rsidRDefault="00B95583">
      <w:pPr>
        <w:spacing w:line="480" w:lineRule="auto"/>
        <w:sectPr w:rsidR="00B95583">
          <w:pgSz w:w="12240" w:h="15840"/>
          <w:pgMar w:top="1360" w:right="1320" w:bottom="1260" w:left="1320" w:header="0" w:footer="1063" w:gutter="0"/>
          <w:cols w:space="720"/>
        </w:sectPr>
      </w:pPr>
    </w:p>
    <w:p w14:paraId="76FE8A74" w14:textId="77777777" w:rsidR="00B95583" w:rsidRDefault="0099648A">
      <w:pPr>
        <w:pStyle w:val="BodyText"/>
        <w:spacing w:before="81" w:line="480" w:lineRule="auto"/>
        <w:ind w:right="115"/>
      </w:pPr>
      <w:r>
        <w:lastRenderedPageBreak/>
        <w:t>adjusted</w:t>
      </w:r>
      <w:r>
        <w:rPr>
          <w:spacing w:val="-9"/>
        </w:rPr>
        <w:t xml:space="preserve"> </w:t>
      </w:r>
      <w:r>
        <w:t>to</w:t>
      </w:r>
      <w:r>
        <w:rPr>
          <w:spacing w:val="-8"/>
        </w:rPr>
        <w:t xml:space="preserve"> </w:t>
      </w:r>
      <w:r>
        <w:t>a</w:t>
      </w:r>
      <w:r>
        <w:rPr>
          <w:spacing w:val="-9"/>
        </w:rPr>
        <w:t xml:space="preserve"> </w:t>
      </w:r>
      <w:r>
        <w:t>lower,</w:t>
      </w:r>
      <w:r>
        <w:rPr>
          <w:spacing w:val="-10"/>
        </w:rPr>
        <w:t xml:space="preserve"> </w:t>
      </w:r>
      <w:r>
        <w:t>“Realistic</w:t>
      </w:r>
      <w:r>
        <w:rPr>
          <w:spacing w:val="-11"/>
        </w:rPr>
        <w:t xml:space="preserve"> </w:t>
      </w:r>
      <w:r>
        <w:t>Development</w:t>
      </w:r>
      <w:r>
        <w:rPr>
          <w:spacing w:val="-8"/>
        </w:rPr>
        <w:t xml:space="preserve"> </w:t>
      </w:r>
      <w:r>
        <w:t>Potential”,</w:t>
      </w:r>
      <w:r>
        <w:rPr>
          <w:spacing w:val="-7"/>
        </w:rPr>
        <w:t xml:space="preserve"> </w:t>
      </w:r>
      <w:r>
        <w:t>based</w:t>
      </w:r>
      <w:r>
        <w:rPr>
          <w:spacing w:val="-9"/>
        </w:rPr>
        <w:t xml:space="preserve"> </w:t>
      </w:r>
      <w:r>
        <w:t>on</w:t>
      </w:r>
      <w:r>
        <w:rPr>
          <w:spacing w:val="-10"/>
        </w:rPr>
        <w:t xml:space="preserve"> </w:t>
      </w:r>
      <w:r>
        <w:t>the</w:t>
      </w:r>
      <w:r>
        <w:rPr>
          <w:spacing w:val="-8"/>
        </w:rPr>
        <w:t xml:space="preserve"> </w:t>
      </w:r>
      <w:r>
        <w:t>available</w:t>
      </w:r>
      <w:r>
        <w:rPr>
          <w:spacing w:val="-10"/>
        </w:rPr>
        <w:t xml:space="preserve"> </w:t>
      </w:r>
      <w:r>
        <w:t>vacant land for development, the difference between the default prospective need and the “Realistic Development Potential” was classified as “unmet need” and the municipality would only need to adopt passive measures to allow for additional affordable housing development during the current round, but with no obligation to demonstrate</w:t>
      </w:r>
      <w:r>
        <w:rPr>
          <w:spacing w:val="-17"/>
        </w:rPr>
        <w:t xml:space="preserve"> </w:t>
      </w:r>
      <w:r>
        <w:t>that</w:t>
      </w:r>
      <w:r>
        <w:rPr>
          <w:spacing w:val="-17"/>
        </w:rPr>
        <w:t xml:space="preserve"> </w:t>
      </w:r>
      <w:r>
        <w:t>the</w:t>
      </w:r>
      <w:r>
        <w:rPr>
          <w:spacing w:val="-16"/>
        </w:rPr>
        <w:t xml:space="preserve"> </w:t>
      </w:r>
      <w:r>
        <w:t>proposed</w:t>
      </w:r>
      <w:r>
        <w:rPr>
          <w:spacing w:val="-17"/>
        </w:rPr>
        <w:t xml:space="preserve"> </w:t>
      </w:r>
      <w:r>
        <w:t>measure</w:t>
      </w:r>
      <w:r>
        <w:rPr>
          <w:spacing w:val="-17"/>
        </w:rPr>
        <w:t xml:space="preserve"> </w:t>
      </w:r>
      <w:r>
        <w:t>would</w:t>
      </w:r>
      <w:r>
        <w:rPr>
          <w:spacing w:val="-17"/>
        </w:rPr>
        <w:t xml:space="preserve"> </w:t>
      </w:r>
      <w:r>
        <w:t>sufficiently</w:t>
      </w:r>
      <w:r>
        <w:rPr>
          <w:spacing w:val="-16"/>
        </w:rPr>
        <w:t xml:space="preserve"> </w:t>
      </w:r>
      <w:r>
        <w:t>address</w:t>
      </w:r>
      <w:r>
        <w:rPr>
          <w:spacing w:val="-17"/>
        </w:rPr>
        <w:t xml:space="preserve"> </w:t>
      </w:r>
      <w:r>
        <w:t>that</w:t>
      </w:r>
      <w:r>
        <w:rPr>
          <w:spacing w:val="-17"/>
        </w:rPr>
        <w:t xml:space="preserve"> </w:t>
      </w:r>
      <w:r>
        <w:t>“unmet</w:t>
      </w:r>
      <w:r>
        <w:rPr>
          <w:spacing w:val="-16"/>
        </w:rPr>
        <w:t xml:space="preserve"> </w:t>
      </w:r>
      <w:r>
        <w:t xml:space="preserve">need” and no requirement that any additional affordable housing units actually be </w:t>
      </w:r>
      <w:r>
        <w:rPr>
          <w:spacing w:val="-2"/>
        </w:rPr>
        <w:t>developed.</w:t>
      </w:r>
    </w:p>
    <w:p w14:paraId="1E12840C" w14:textId="77777777" w:rsidR="00B95583" w:rsidRDefault="0099648A">
      <w:pPr>
        <w:pStyle w:val="BodyText"/>
        <w:spacing w:before="159" w:line="480" w:lineRule="auto"/>
        <w:ind w:left="119" w:right="114" w:firstLine="720"/>
      </w:pPr>
      <w:r>
        <w:t>However, with the adoption of A-4, the legislature has now required municipalities</w:t>
      </w:r>
      <w:r>
        <w:rPr>
          <w:spacing w:val="-12"/>
        </w:rPr>
        <w:t xml:space="preserve"> </w:t>
      </w:r>
      <w:r>
        <w:t>that</w:t>
      </w:r>
      <w:r>
        <w:rPr>
          <w:spacing w:val="-14"/>
        </w:rPr>
        <w:t xml:space="preserve"> </w:t>
      </w:r>
      <w:r>
        <w:t>are</w:t>
      </w:r>
      <w:r>
        <w:rPr>
          <w:spacing w:val="-12"/>
        </w:rPr>
        <w:t xml:space="preserve"> </w:t>
      </w:r>
      <w:r>
        <w:t>utilizing</w:t>
      </w:r>
      <w:r>
        <w:rPr>
          <w:spacing w:val="-11"/>
        </w:rPr>
        <w:t xml:space="preserve"> </w:t>
      </w:r>
      <w:r>
        <w:t>a</w:t>
      </w:r>
      <w:r>
        <w:rPr>
          <w:spacing w:val="-13"/>
        </w:rPr>
        <w:t xml:space="preserve"> </w:t>
      </w:r>
      <w:r>
        <w:t>vacant</w:t>
      </w:r>
      <w:r>
        <w:rPr>
          <w:spacing w:val="-14"/>
        </w:rPr>
        <w:t xml:space="preserve"> </w:t>
      </w:r>
      <w:r>
        <w:t>land</w:t>
      </w:r>
      <w:r>
        <w:rPr>
          <w:spacing w:val="-13"/>
        </w:rPr>
        <w:t xml:space="preserve"> </w:t>
      </w:r>
      <w:r>
        <w:t>adjustment</w:t>
      </w:r>
      <w:r>
        <w:rPr>
          <w:spacing w:val="-11"/>
        </w:rPr>
        <w:t xml:space="preserve"> </w:t>
      </w:r>
      <w:r>
        <w:t>to</w:t>
      </w:r>
      <w:r>
        <w:rPr>
          <w:spacing w:val="-12"/>
        </w:rPr>
        <w:t xml:space="preserve"> </w:t>
      </w:r>
      <w:r>
        <w:t>affirmatively</w:t>
      </w:r>
      <w:r>
        <w:rPr>
          <w:spacing w:val="-11"/>
        </w:rPr>
        <w:t xml:space="preserve"> </w:t>
      </w:r>
      <w:r>
        <w:t>address</w:t>
      </w:r>
      <w:r>
        <w:rPr>
          <w:spacing w:val="-12"/>
        </w:rPr>
        <w:t xml:space="preserve"> </w:t>
      </w:r>
      <w:r>
        <w:t>at least 25% of the “unmet need” by identifying “parcels likely to redevelop during the current</w:t>
      </w:r>
      <w:r>
        <w:rPr>
          <w:spacing w:val="-7"/>
        </w:rPr>
        <w:t xml:space="preserve"> </w:t>
      </w:r>
      <w:r>
        <w:t>round</w:t>
      </w:r>
      <w:r>
        <w:rPr>
          <w:spacing w:val="-11"/>
        </w:rPr>
        <w:t xml:space="preserve"> </w:t>
      </w:r>
      <w:r>
        <w:t>of</w:t>
      </w:r>
      <w:r>
        <w:rPr>
          <w:spacing w:val="-11"/>
        </w:rPr>
        <w:t xml:space="preserve"> </w:t>
      </w:r>
      <w:r>
        <w:t>obligations”</w:t>
      </w:r>
      <w:r>
        <w:rPr>
          <w:spacing w:val="-10"/>
        </w:rPr>
        <w:t xml:space="preserve"> </w:t>
      </w:r>
      <w:r>
        <w:t>and</w:t>
      </w:r>
      <w:r>
        <w:rPr>
          <w:spacing w:val="-11"/>
        </w:rPr>
        <w:t xml:space="preserve"> </w:t>
      </w:r>
      <w:r>
        <w:t>adopt</w:t>
      </w:r>
      <w:r>
        <w:rPr>
          <w:spacing w:val="-10"/>
        </w:rPr>
        <w:t xml:space="preserve"> </w:t>
      </w:r>
      <w:r>
        <w:t>realistic</w:t>
      </w:r>
      <w:r>
        <w:rPr>
          <w:spacing w:val="-11"/>
        </w:rPr>
        <w:t xml:space="preserve"> </w:t>
      </w:r>
      <w:r>
        <w:t>zoning</w:t>
      </w:r>
      <w:r>
        <w:rPr>
          <w:spacing w:val="-9"/>
        </w:rPr>
        <w:t xml:space="preserve"> </w:t>
      </w:r>
      <w:r>
        <w:t>for</w:t>
      </w:r>
      <w:r>
        <w:rPr>
          <w:spacing w:val="-11"/>
        </w:rPr>
        <w:t xml:space="preserve"> </w:t>
      </w:r>
      <w:r>
        <w:t>those</w:t>
      </w:r>
      <w:r>
        <w:rPr>
          <w:spacing w:val="-10"/>
        </w:rPr>
        <w:t xml:space="preserve"> </w:t>
      </w:r>
      <w:r>
        <w:t>various</w:t>
      </w:r>
      <w:r>
        <w:rPr>
          <w:spacing w:val="-11"/>
        </w:rPr>
        <w:t xml:space="preserve"> </w:t>
      </w:r>
      <w:r>
        <w:t>parcels</w:t>
      </w:r>
      <w:r>
        <w:rPr>
          <w:spacing w:val="-11"/>
        </w:rPr>
        <w:t xml:space="preserve"> </w:t>
      </w:r>
      <w:r>
        <w:t>that would provide the affordable units to address 25% of the “unmet need.” This puts significant pressure</w:t>
      </w:r>
      <w:r>
        <w:rPr>
          <w:spacing w:val="-1"/>
        </w:rPr>
        <w:t xml:space="preserve"> </w:t>
      </w:r>
      <w:r>
        <w:t>on</w:t>
      </w:r>
      <w:r>
        <w:rPr>
          <w:spacing w:val="-1"/>
        </w:rPr>
        <w:t xml:space="preserve"> </w:t>
      </w:r>
      <w:r>
        <w:t>municipalities</w:t>
      </w:r>
      <w:r>
        <w:rPr>
          <w:spacing w:val="-1"/>
        </w:rPr>
        <w:t xml:space="preserve"> </w:t>
      </w:r>
      <w:r>
        <w:t>to</w:t>
      </w:r>
      <w:r>
        <w:rPr>
          <w:spacing w:val="-1"/>
        </w:rPr>
        <w:t xml:space="preserve"> </w:t>
      </w:r>
      <w:r>
        <w:t>comprehensively zone</w:t>
      </w:r>
      <w:r>
        <w:rPr>
          <w:spacing w:val="-1"/>
        </w:rPr>
        <w:t xml:space="preserve"> </w:t>
      </w:r>
      <w:r>
        <w:t>for</w:t>
      </w:r>
      <w:r>
        <w:rPr>
          <w:spacing w:val="-1"/>
        </w:rPr>
        <w:t xml:space="preserve"> </w:t>
      </w:r>
      <w:r>
        <w:t>redevelopment or demonstrate</w:t>
      </w:r>
      <w:r>
        <w:rPr>
          <w:spacing w:val="-17"/>
        </w:rPr>
        <w:t xml:space="preserve"> </w:t>
      </w:r>
      <w:r>
        <w:t>to</w:t>
      </w:r>
      <w:r>
        <w:rPr>
          <w:spacing w:val="-17"/>
        </w:rPr>
        <w:t xml:space="preserve"> </w:t>
      </w:r>
      <w:r>
        <w:t>the</w:t>
      </w:r>
      <w:r>
        <w:rPr>
          <w:spacing w:val="-16"/>
        </w:rPr>
        <w:t xml:space="preserve"> </w:t>
      </w:r>
      <w:r>
        <w:t>court’s</w:t>
      </w:r>
      <w:r>
        <w:rPr>
          <w:spacing w:val="-17"/>
        </w:rPr>
        <w:t xml:space="preserve"> </w:t>
      </w:r>
      <w:r>
        <w:t>satisfaction</w:t>
      </w:r>
      <w:r>
        <w:rPr>
          <w:spacing w:val="-17"/>
        </w:rPr>
        <w:t xml:space="preserve"> </w:t>
      </w:r>
      <w:r>
        <w:t>why</w:t>
      </w:r>
      <w:r>
        <w:rPr>
          <w:spacing w:val="-17"/>
        </w:rPr>
        <w:t xml:space="preserve"> </w:t>
      </w:r>
      <w:r>
        <w:t>25%</w:t>
      </w:r>
      <w:r>
        <w:rPr>
          <w:spacing w:val="-16"/>
        </w:rPr>
        <w:t xml:space="preserve"> </w:t>
      </w:r>
      <w:r>
        <w:t>of</w:t>
      </w:r>
      <w:r>
        <w:rPr>
          <w:spacing w:val="-17"/>
        </w:rPr>
        <w:t xml:space="preserve"> </w:t>
      </w:r>
      <w:r>
        <w:t>the</w:t>
      </w:r>
      <w:r>
        <w:rPr>
          <w:spacing w:val="-17"/>
        </w:rPr>
        <w:t xml:space="preserve"> </w:t>
      </w:r>
      <w:r>
        <w:t>unmet</w:t>
      </w:r>
      <w:r>
        <w:rPr>
          <w:spacing w:val="-16"/>
        </w:rPr>
        <w:t xml:space="preserve"> </w:t>
      </w:r>
      <w:r>
        <w:t>need</w:t>
      </w:r>
      <w:r>
        <w:rPr>
          <w:spacing w:val="-17"/>
        </w:rPr>
        <w:t xml:space="preserve"> </w:t>
      </w:r>
      <w:r>
        <w:t>cannot</w:t>
      </w:r>
      <w:r>
        <w:rPr>
          <w:spacing w:val="-17"/>
        </w:rPr>
        <w:t xml:space="preserve"> </w:t>
      </w:r>
      <w:r>
        <w:t>be</w:t>
      </w:r>
      <w:r>
        <w:rPr>
          <w:spacing w:val="-16"/>
        </w:rPr>
        <w:t xml:space="preserve"> </w:t>
      </w:r>
      <w:r>
        <w:t>achieved through the redevelopment of land within the municipality. As a result, developed yet underutilized parcels can be leveraged by interested parties to challenge fair share plans. Moreover, this change incentivizes upzoning existing mixed-use zones and introducing residential uses in exclusive commercial districts.</w:t>
      </w:r>
    </w:p>
    <w:p w14:paraId="4760763C" w14:textId="05E03B92" w:rsidR="00B95583" w:rsidRDefault="0099648A">
      <w:pPr>
        <w:pStyle w:val="BodyText"/>
        <w:spacing w:before="159" w:line="480" w:lineRule="auto"/>
        <w:ind w:left="119" w:right="115" w:firstLine="720"/>
      </w:pPr>
      <w:r>
        <w:t>A-4’s significant amendment of the bonus credits structure heavily favors redevelopment. With the 25% cap on bonus credits and the prohibition on applying multiple eligible bonus credits to a single eligible unit remaining in effect,</w:t>
      </w:r>
    </w:p>
    <w:p w14:paraId="5AA4A646" w14:textId="77777777" w:rsidR="00B95583" w:rsidRDefault="00B95583">
      <w:pPr>
        <w:spacing w:line="480" w:lineRule="auto"/>
        <w:sectPr w:rsidR="00B95583">
          <w:pgSz w:w="12240" w:h="15840"/>
          <w:pgMar w:top="1360" w:right="1320" w:bottom="1260" w:left="1320" w:header="0" w:footer="1063" w:gutter="0"/>
          <w:cols w:space="720"/>
        </w:sectPr>
      </w:pPr>
    </w:p>
    <w:p w14:paraId="798BBA65" w14:textId="77777777" w:rsidR="00B95583" w:rsidRDefault="0099648A">
      <w:pPr>
        <w:pStyle w:val="BodyText"/>
        <w:spacing w:before="81" w:line="480" w:lineRule="auto"/>
        <w:ind w:left="119" w:right="114"/>
      </w:pPr>
      <w:r>
        <w:lastRenderedPageBreak/>
        <w:t>the legislature’s elimination of the blanket 1 to 1 rental bonus credit essentially replaces the majority of bonus credits with a more targeted credit system that primarily</w:t>
      </w:r>
      <w:r>
        <w:rPr>
          <w:spacing w:val="-11"/>
        </w:rPr>
        <w:t xml:space="preserve"> </w:t>
      </w:r>
      <w:r>
        <w:t>provides</w:t>
      </w:r>
      <w:r>
        <w:rPr>
          <w:spacing w:val="-10"/>
        </w:rPr>
        <w:t xml:space="preserve"> </w:t>
      </w:r>
      <w:r>
        <w:t>for</w:t>
      </w:r>
      <w:r>
        <w:rPr>
          <w:spacing w:val="-10"/>
        </w:rPr>
        <w:t xml:space="preserve"> </w:t>
      </w:r>
      <w:r>
        <w:t>bonuses</w:t>
      </w:r>
      <w:r>
        <w:rPr>
          <w:spacing w:val="-10"/>
        </w:rPr>
        <w:t xml:space="preserve"> </w:t>
      </w:r>
      <w:r>
        <w:t>of</w:t>
      </w:r>
      <w:r>
        <w:rPr>
          <w:spacing w:val="-12"/>
        </w:rPr>
        <w:t xml:space="preserve"> </w:t>
      </w:r>
      <w:r>
        <w:t>0.5</w:t>
      </w:r>
      <w:r>
        <w:rPr>
          <w:spacing w:val="-11"/>
        </w:rPr>
        <w:t xml:space="preserve"> </w:t>
      </w:r>
      <w:r>
        <w:t>to</w:t>
      </w:r>
      <w:r>
        <w:rPr>
          <w:spacing w:val="-12"/>
        </w:rPr>
        <w:t xml:space="preserve"> </w:t>
      </w:r>
      <w:r>
        <w:t>1.</w:t>
      </w:r>
      <w:r>
        <w:rPr>
          <w:spacing w:val="40"/>
        </w:rPr>
        <w:t xml:space="preserve"> </w:t>
      </w:r>
      <w:r>
        <w:t>The</w:t>
      </w:r>
      <w:r>
        <w:rPr>
          <w:spacing w:val="-9"/>
        </w:rPr>
        <w:t xml:space="preserve"> </w:t>
      </w:r>
      <w:r>
        <w:t>following</w:t>
      </w:r>
      <w:r>
        <w:rPr>
          <w:spacing w:val="-11"/>
        </w:rPr>
        <w:t xml:space="preserve"> </w:t>
      </w:r>
      <w:r>
        <w:t>are</w:t>
      </w:r>
      <w:r>
        <w:rPr>
          <w:spacing w:val="-12"/>
        </w:rPr>
        <w:t xml:space="preserve"> </w:t>
      </w:r>
      <w:r>
        <w:t>the</w:t>
      </w:r>
      <w:r>
        <w:rPr>
          <w:spacing w:val="-9"/>
        </w:rPr>
        <w:t xml:space="preserve"> </w:t>
      </w:r>
      <w:r>
        <w:t>only</w:t>
      </w:r>
      <w:r>
        <w:rPr>
          <w:spacing w:val="-9"/>
        </w:rPr>
        <w:t xml:space="preserve"> </w:t>
      </w:r>
      <w:r>
        <w:t>types</w:t>
      </w:r>
      <w:r>
        <w:rPr>
          <w:spacing w:val="-10"/>
        </w:rPr>
        <w:t xml:space="preserve"> </w:t>
      </w:r>
      <w:r>
        <w:t>of</w:t>
      </w:r>
      <w:r>
        <w:rPr>
          <w:spacing w:val="-10"/>
        </w:rPr>
        <w:t xml:space="preserve"> </w:t>
      </w:r>
      <w:r>
        <w:t>housing units that are eligible for bonus credits under the new credit system:</w:t>
      </w:r>
    </w:p>
    <w:p w14:paraId="007AB546" w14:textId="77777777" w:rsidR="00B95583" w:rsidRDefault="0099648A">
      <w:pPr>
        <w:pStyle w:val="ListParagraph"/>
        <w:numPr>
          <w:ilvl w:val="1"/>
          <w:numId w:val="2"/>
        </w:numPr>
        <w:tabs>
          <w:tab w:val="left" w:pos="839"/>
        </w:tabs>
        <w:spacing w:before="159"/>
        <w:ind w:left="839" w:hanging="719"/>
        <w:rPr>
          <w:sz w:val="24"/>
        </w:rPr>
      </w:pPr>
      <w:r>
        <w:rPr>
          <w:sz w:val="24"/>
        </w:rPr>
        <w:t>Supportive</w:t>
      </w:r>
      <w:r>
        <w:rPr>
          <w:spacing w:val="-3"/>
          <w:sz w:val="24"/>
        </w:rPr>
        <w:t xml:space="preserve"> </w:t>
      </w:r>
      <w:r>
        <w:rPr>
          <w:sz w:val="24"/>
        </w:rPr>
        <w:t>housing</w:t>
      </w:r>
      <w:r>
        <w:rPr>
          <w:spacing w:val="-2"/>
          <w:sz w:val="24"/>
        </w:rPr>
        <w:t xml:space="preserve"> </w:t>
      </w:r>
      <w:r>
        <w:rPr>
          <w:sz w:val="24"/>
        </w:rPr>
        <w:t>(1</w:t>
      </w:r>
      <w:r>
        <w:rPr>
          <w:spacing w:val="1"/>
          <w:sz w:val="24"/>
        </w:rPr>
        <w:t xml:space="preserve"> </w:t>
      </w:r>
      <w:r>
        <w:rPr>
          <w:sz w:val="24"/>
        </w:rPr>
        <w:t>to</w:t>
      </w:r>
      <w:r>
        <w:rPr>
          <w:spacing w:val="-3"/>
          <w:sz w:val="24"/>
        </w:rPr>
        <w:t xml:space="preserve"> </w:t>
      </w:r>
      <w:r>
        <w:rPr>
          <w:sz w:val="24"/>
        </w:rPr>
        <w:t>1</w:t>
      </w:r>
      <w:r>
        <w:rPr>
          <w:spacing w:val="-1"/>
          <w:sz w:val="24"/>
        </w:rPr>
        <w:t xml:space="preserve"> </w:t>
      </w:r>
      <w:r>
        <w:rPr>
          <w:spacing w:val="-2"/>
          <w:sz w:val="24"/>
        </w:rPr>
        <w:t>bonus)</w:t>
      </w:r>
    </w:p>
    <w:p w14:paraId="7E88E637" w14:textId="77777777" w:rsidR="00B95583" w:rsidRDefault="0099648A">
      <w:pPr>
        <w:pStyle w:val="ListParagraph"/>
        <w:numPr>
          <w:ilvl w:val="1"/>
          <w:numId w:val="2"/>
        </w:numPr>
        <w:tabs>
          <w:tab w:val="left" w:pos="839"/>
        </w:tabs>
        <w:spacing w:before="23"/>
        <w:ind w:left="839" w:hanging="719"/>
        <w:rPr>
          <w:sz w:val="24"/>
        </w:rPr>
      </w:pPr>
      <w:r>
        <w:rPr>
          <w:sz w:val="24"/>
        </w:rPr>
        <w:t>Municipal</w:t>
      </w:r>
      <w:r>
        <w:rPr>
          <w:spacing w:val="-4"/>
          <w:sz w:val="24"/>
        </w:rPr>
        <w:t xml:space="preserve"> </w:t>
      </w:r>
      <w:r>
        <w:rPr>
          <w:sz w:val="24"/>
        </w:rPr>
        <w:t>partnership</w:t>
      </w:r>
      <w:r>
        <w:rPr>
          <w:spacing w:val="-3"/>
          <w:sz w:val="24"/>
        </w:rPr>
        <w:t xml:space="preserve"> </w:t>
      </w:r>
      <w:r>
        <w:rPr>
          <w:sz w:val="24"/>
        </w:rPr>
        <w:t>with</w:t>
      </w:r>
      <w:r>
        <w:rPr>
          <w:spacing w:val="-2"/>
          <w:sz w:val="24"/>
        </w:rPr>
        <w:t xml:space="preserve"> </w:t>
      </w:r>
      <w:r>
        <w:rPr>
          <w:sz w:val="24"/>
        </w:rPr>
        <w:t>a</w:t>
      </w:r>
      <w:r>
        <w:rPr>
          <w:spacing w:val="-1"/>
          <w:sz w:val="24"/>
        </w:rPr>
        <w:t xml:space="preserve"> </w:t>
      </w:r>
      <w:r>
        <w:rPr>
          <w:sz w:val="24"/>
        </w:rPr>
        <w:t>non-profit</w:t>
      </w:r>
      <w:r>
        <w:rPr>
          <w:spacing w:val="-3"/>
          <w:sz w:val="24"/>
        </w:rPr>
        <w:t xml:space="preserve"> </w:t>
      </w:r>
      <w:r>
        <w:rPr>
          <w:sz w:val="24"/>
        </w:rPr>
        <w:t>partnership</w:t>
      </w:r>
      <w:r>
        <w:rPr>
          <w:spacing w:val="-3"/>
          <w:sz w:val="24"/>
        </w:rPr>
        <w:t xml:space="preserve"> </w:t>
      </w:r>
      <w:r>
        <w:rPr>
          <w:sz w:val="24"/>
        </w:rPr>
        <w:t>(0.5</w:t>
      </w:r>
      <w:r>
        <w:rPr>
          <w:spacing w:val="-1"/>
          <w:sz w:val="24"/>
        </w:rPr>
        <w:t xml:space="preserve"> </w:t>
      </w:r>
      <w:r>
        <w:rPr>
          <w:sz w:val="24"/>
        </w:rPr>
        <w:t>to</w:t>
      </w:r>
      <w:r>
        <w:rPr>
          <w:spacing w:val="-2"/>
          <w:sz w:val="24"/>
        </w:rPr>
        <w:t xml:space="preserve"> </w:t>
      </w:r>
      <w:r>
        <w:rPr>
          <w:sz w:val="24"/>
        </w:rPr>
        <w:t>1</w:t>
      </w:r>
      <w:r>
        <w:rPr>
          <w:spacing w:val="-1"/>
          <w:sz w:val="24"/>
        </w:rPr>
        <w:t xml:space="preserve"> </w:t>
      </w:r>
      <w:r>
        <w:rPr>
          <w:spacing w:val="-2"/>
          <w:sz w:val="24"/>
        </w:rPr>
        <w:t>bonus)</w:t>
      </w:r>
    </w:p>
    <w:p w14:paraId="64F4B721" w14:textId="77777777" w:rsidR="00B95583" w:rsidRDefault="0099648A">
      <w:pPr>
        <w:pStyle w:val="ListParagraph"/>
        <w:numPr>
          <w:ilvl w:val="1"/>
          <w:numId w:val="2"/>
        </w:numPr>
        <w:tabs>
          <w:tab w:val="left" w:pos="839"/>
        </w:tabs>
        <w:spacing w:before="24"/>
        <w:ind w:left="839" w:hanging="719"/>
        <w:rPr>
          <w:sz w:val="24"/>
        </w:rPr>
      </w:pPr>
      <w:r>
        <w:rPr>
          <w:sz w:val="24"/>
        </w:rPr>
        <w:t>Development</w:t>
      </w:r>
      <w:r>
        <w:rPr>
          <w:spacing w:val="-3"/>
          <w:sz w:val="24"/>
        </w:rPr>
        <w:t xml:space="preserve"> </w:t>
      </w:r>
      <w:r>
        <w:rPr>
          <w:sz w:val="24"/>
        </w:rPr>
        <w:t>within</w:t>
      </w:r>
      <w:r>
        <w:rPr>
          <w:spacing w:val="-2"/>
          <w:sz w:val="24"/>
        </w:rPr>
        <w:t xml:space="preserve"> </w:t>
      </w:r>
      <w:r>
        <w:rPr>
          <w:sz w:val="24"/>
        </w:rPr>
        <w:t>0.5</w:t>
      </w:r>
      <w:r>
        <w:rPr>
          <w:spacing w:val="-1"/>
          <w:sz w:val="24"/>
        </w:rPr>
        <w:t xml:space="preserve"> </w:t>
      </w:r>
      <w:r>
        <w:rPr>
          <w:sz w:val="24"/>
        </w:rPr>
        <w:t>mile</w:t>
      </w:r>
      <w:r>
        <w:rPr>
          <w:spacing w:val="-2"/>
          <w:sz w:val="24"/>
        </w:rPr>
        <w:t xml:space="preserve"> </w:t>
      </w:r>
      <w:r>
        <w:rPr>
          <w:sz w:val="24"/>
        </w:rPr>
        <w:t>of</w:t>
      </w:r>
      <w:r>
        <w:rPr>
          <w:spacing w:val="-4"/>
          <w:sz w:val="24"/>
        </w:rPr>
        <w:t xml:space="preserve"> </w:t>
      </w:r>
      <w:r>
        <w:rPr>
          <w:sz w:val="24"/>
        </w:rPr>
        <w:t>transit</w:t>
      </w:r>
      <w:r>
        <w:rPr>
          <w:spacing w:val="-2"/>
          <w:sz w:val="24"/>
        </w:rPr>
        <w:t xml:space="preserve"> </w:t>
      </w:r>
      <w:r>
        <w:rPr>
          <w:sz w:val="24"/>
        </w:rPr>
        <w:t>(0.5</w:t>
      </w:r>
      <w:r>
        <w:rPr>
          <w:spacing w:val="-1"/>
          <w:sz w:val="24"/>
        </w:rPr>
        <w:t xml:space="preserve"> </w:t>
      </w:r>
      <w:r>
        <w:rPr>
          <w:sz w:val="24"/>
        </w:rPr>
        <w:t>to</w:t>
      </w:r>
      <w:r>
        <w:rPr>
          <w:spacing w:val="-2"/>
          <w:sz w:val="24"/>
        </w:rPr>
        <w:t xml:space="preserve"> </w:t>
      </w:r>
      <w:r>
        <w:rPr>
          <w:sz w:val="24"/>
        </w:rPr>
        <w:t>1</w:t>
      </w:r>
      <w:r>
        <w:rPr>
          <w:spacing w:val="-1"/>
          <w:sz w:val="24"/>
        </w:rPr>
        <w:t xml:space="preserve"> </w:t>
      </w:r>
      <w:r>
        <w:rPr>
          <w:spacing w:val="-2"/>
          <w:sz w:val="24"/>
        </w:rPr>
        <w:t>bonus)</w:t>
      </w:r>
    </w:p>
    <w:p w14:paraId="1B2248A1" w14:textId="77777777" w:rsidR="00B95583" w:rsidRDefault="0099648A">
      <w:pPr>
        <w:pStyle w:val="ListParagraph"/>
        <w:numPr>
          <w:ilvl w:val="1"/>
          <w:numId w:val="2"/>
        </w:numPr>
        <w:tabs>
          <w:tab w:val="left" w:pos="839"/>
        </w:tabs>
        <w:spacing w:before="23"/>
        <w:ind w:left="839" w:hanging="719"/>
        <w:rPr>
          <w:sz w:val="24"/>
        </w:rPr>
      </w:pPr>
      <w:r>
        <w:rPr>
          <w:sz w:val="24"/>
        </w:rPr>
        <w:t>Age</w:t>
      </w:r>
      <w:r>
        <w:rPr>
          <w:spacing w:val="-1"/>
          <w:sz w:val="24"/>
        </w:rPr>
        <w:t xml:space="preserve"> </w:t>
      </w:r>
      <w:r>
        <w:rPr>
          <w:sz w:val="24"/>
        </w:rPr>
        <w:t>restricted</w:t>
      </w:r>
      <w:r>
        <w:rPr>
          <w:spacing w:val="-2"/>
          <w:sz w:val="24"/>
        </w:rPr>
        <w:t xml:space="preserve"> </w:t>
      </w:r>
      <w:r>
        <w:rPr>
          <w:sz w:val="24"/>
        </w:rPr>
        <w:t>housing</w:t>
      </w:r>
      <w:r>
        <w:rPr>
          <w:spacing w:val="-1"/>
          <w:sz w:val="24"/>
        </w:rPr>
        <w:t xml:space="preserve"> </w:t>
      </w:r>
      <w:r>
        <w:rPr>
          <w:sz w:val="24"/>
        </w:rPr>
        <w:t>(0.5 to</w:t>
      </w:r>
      <w:r>
        <w:rPr>
          <w:spacing w:val="-3"/>
          <w:sz w:val="24"/>
        </w:rPr>
        <w:t xml:space="preserve"> </w:t>
      </w:r>
      <w:r>
        <w:rPr>
          <w:sz w:val="24"/>
        </w:rPr>
        <w:t>1</w:t>
      </w:r>
      <w:r>
        <w:rPr>
          <w:spacing w:val="-1"/>
          <w:sz w:val="24"/>
        </w:rPr>
        <w:t xml:space="preserve"> </w:t>
      </w:r>
      <w:r>
        <w:rPr>
          <w:spacing w:val="-2"/>
          <w:sz w:val="24"/>
        </w:rPr>
        <w:t>bonus)</w:t>
      </w:r>
    </w:p>
    <w:p w14:paraId="0D490196" w14:textId="77777777" w:rsidR="00B95583" w:rsidRDefault="0099648A">
      <w:pPr>
        <w:pStyle w:val="ListParagraph"/>
        <w:numPr>
          <w:ilvl w:val="1"/>
          <w:numId w:val="2"/>
        </w:numPr>
        <w:tabs>
          <w:tab w:val="left" w:pos="839"/>
        </w:tabs>
        <w:spacing w:before="21"/>
        <w:ind w:left="839" w:hanging="719"/>
        <w:rPr>
          <w:sz w:val="24"/>
        </w:rPr>
      </w:pPr>
      <w:r>
        <w:rPr>
          <w:sz w:val="24"/>
        </w:rPr>
        <w:t>Development</w:t>
      </w:r>
      <w:r>
        <w:rPr>
          <w:spacing w:val="-5"/>
          <w:sz w:val="24"/>
        </w:rPr>
        <w:t xml:space="preserve"> </w:t>
      </w:r>
      <w:r>
        <w:rPr>
          <w:sz w:val="24"/>
        </w:rPr>
        <w:t>of</w:t>
      </w:r>
      <w:r>
        <w:rPr>
          <w:spacing w:val="-3"/>
          <w:sz w:val="24"/>
        </w:rPr>
        <w:t xml:space="preserve"> </w:t>
      </w:r>
      <w:r>
        <w:rPr>
          <w:sz w:val="24"/>
        </w:rPr>
        <w:t>excess</w:t>
      </w:r>
      <w:r>
        <w:rPr>
          <w:spacing w:val="-4"/>
          <w:sz w:val="24"/>
        </w:rPr>
        <w:t xml:space="preserve"> </w:t>
      </w:r>
      <w:r>
        <w:rPr>
          <w:sz w:val="24"/>
        </w:rPr>
        <w:t>3BR</w:t>
      </w:r>
      <w:r>
        <w:rPr>
          <w:spacing w:val="-2"/>
          <w:sz w:val="24"/>
        </w:rPr>
        <w:t xml:space="preserve"> </w:t>
      </w:r>
      <w:r>
        <w:rPr>
          <w:sz w:val="24"/>
        </w:rPr>
        <w:t>units</w:t>
      </w:r>
      <w:r>
        <w:rPr>
          <w:spacing w:val="-3"/>
          <w:sz w:val="24"/>
        </w:rPr>
        <w:t xml:space="preserve"> </w:t>
      </w:r>
      <w:r>
        <w:rPr>
          <w:sz w:val="24"/>
        </w:rPr>
        <w:t>above</w:t>
      </w:r>
      <w:r>
        <w:rPr>
          <w:spacing w:val="-3"/>
          <w:sz w:val="24"/>
        </w:rPr>
        <w:t xml:space="preserve"> </w:t>
      </w:r>
      <w:r>
        <w:rPr>
          <w:sz w:val="24"/>
        </w:rPr>
        <w:t>municipal</w:t>
      </w:r>
      <w:r>
        <w:rPr>
          <w:spacing w:val="-3"/>
          <w:sz w:val="24"/>
        </w:rPr>
        <w:t xml:space="preserve"> </w:t>
      </w:r>
      <w:r>
        <w:rPr>
          <w:sz w:val="24"/>
        </w:rPr>
        <w:t>minimum</w:t>
      </w:r>
      <w:r>
        <w:rPr>
          <w:spacing w:val="-2"/>
          <w:sz w:val="24"/>
        </w:rPr>
        <w:t xml:space="preserve"> </w:t>
      </w:r>
      <w:r>
        <w:rPr>
          <w:sz w:val="24"/>
        </w:rPr>
        <w:t>(0.5</w:t>
      </w:r>
      <w:r>
        <w:rPr>
          <w:spacing w:val="-2"/>
          <w:sz w:val="24"/>
        </w:rPr>
        <w:t xml:space="preserve"> </w:t>
      </w:r>
      <w:r>
        <w:rPr>
          <w:sz w:val="24"/>
        </w:rPr>
        <w:t>to</w:t>
      </w:r>
      <w:r>
        <w:rPr>
          <w:spacing w:val="-2"/>
          <w:sz w:val="24"/>
        </w:rPr>
        <w:t xml:space="preserve"> </w:t>
      </w:r>
      <w:r>
        <w:rPr>
          <w:sz w:val="24"/>
        </w:rPr>
        <w:t>1</w:t>
      </w:r>
      <w:r>
        <w:rPr>
          <w:spacing w:val="-1"/>
          <w:sz w:val="24"/>
        </w:rPr>
        <w:t xml:space="preserve"> </w:t>
      </w:r>
      <w:r>
        <w:rPr>
          <w:spacing w:val="-2"/>
          <w:sz w:val="24"/>
        </w:rPr>
        <w:t>bonus)</w:t>
      </w:r>
    </w:p>
    <w:p w14:paraId="44CE9AB4" w14:textId="77777777" w:rsidR="00B95583" w:rsidRDefault="0099648A">
      <w:pPr>
        <w:pStyle w:val="ListParagraph"/>
        <w:numPr>
          <w:ilvl w:val="1"/>
          <w:numId w:val="2"/>
        </w:numPr>
        <w:tabs>
          <w:tab w:val="left" w:pos="839"/>
        </w:tabs>
        <w:spacing w:before="24"/>
        <w:ind w:left="839" w:hanging="719"/>
        <w:rPr>
          <w:sz w:val="24"/>
        </w:rPr>
      </w:pPr>
      <w:r>
        <w:rPr>
          <w:sz w:val="24"/>
        </w:rPr>
        <w:t>Redevelopment</w:t>
      </w:r>
      <w:r>
        <w:rPr>
          <w:spacing w:val="-5"/>
          <w:sz w:val="24"/>
        </w:rPr>
        <w:t xml:space="preserve"> </w:t>
      </w:r>
      <w:r>
        <w:rPr>
          <w:sz w:val="24"/>
        </w:rPr>
        <w:t>of</w:t>
      </w:r>
      <w:r>
        <w:rPr>
          <w:spacing w:val="-3"/>
          <w:sz w:val="24"/>
        </w:rPr>
        <w:t xml:space="preserve"> </w:t>
      </w:r>
      <w:r>
        <w:rPr>
          <w:sz w:val="24"/>
        </w:rPr>
        <w:t>non-residential</w:t>
      </w:r>
      <w:r>
        <w:rPr>
          <w:spacing w:val="-4"/>
          <w:sz w:val="24"/>
        </w:rPr>
        <w:t xml:space="preserve"> </w:t>
      </w:r>
      <w:r>
        <w:rPr>
          <w:sz w:val="24"/>
        </w:rPr>
        <w:t>(0.5</w:t>
      </w:r>
      <w:r>
        <w:rPr>
          <w:spacing w:val="-2"/>
          <w:sz w:val="24"/>
        </w:rPr>
        <w:t xml:space="preserve"> </w:t>
      </w:r>
      <w:r>
        <w:rPr>
          <w:sz w:val="24"/>
        </w:rPr>
        <w:t>to</w:t>
      </w:r>
      <w:r>
        <w:rPr>
          <w:spacing w:val="-2"/>
          <w:sz w:val="24"/>
        </w:rPr>
        <w:t xml:space="preserve"> </w:t>
      </w:r>
      <w:r>
        <w:rPr>
          <w:sz w:val="24"/>
        </w:rPr>
        <w:t>1</w:t>
      </w:r>
      <w:r>
        <w:rPr>
          <w:spacing w:val="-3"/>
          <w:sz w:val="24"/>
        </w:rPr>
        <w:t xml:space="preserve"> </w:t>
      </w:r>
      <w:r>
        <w:rPr>
          <w:spacing w:val="-2"/>
          <w:sz w:val="24"/>
        </w:rPr>
        <w:t>bonus)</w:t>
      </w:r>
    </w:p>
    <w:p w14:paraId="4511C29B" w14:textId="77777777" w:rsidR="00B95583" w:rsidRDefault="0099648A">
      <w:pPr>
        <w:pStyle w:val="ListParagraph"/>
        <w:numPr>
          <w:ilvl w:val="1"/>
          <w:numId w:val="2"/>
        </w:numPr>
        <w:tabs>
          <w:tab w:val="left" w:pos="839"/>
        </w:tabs>
        <w:spacing w:before="23"/>
        <w:ind w:left="839" w:hanging="719"/>
        <w:rPr>
          <w:sz w:val="24"/>
        </w:rPr>
      </w:pPr>
      <w:r>
        <w:rPr>
          <w:sz w:val="24"/>
        </w:rPr>
        <w:t>Extension</w:t>
      </w:r>
      <w:r>
        <w:rPr>
          <w:spacing w:val="-3"/>
          <w:sz w:val="24"/>
        </w:rPr>
        <w:t xml:space="preserve"> </w:t>
      </w:r>
      <w:r>
        <w:rPr>
          <w:sz w:val="24"/>
        </w:rPr>
        <w:t>of</w:t>
      </w:r>
      <w:r>
        <w:rPr>
          <w:spacing w:val="-4"/>
          <w:sz w:val="24"/>
        </w:rPr>
        <w:t xml:space="preserve"> </w:t>
      </w:r>
      <w:r>
        <w:rPr>
          <w:sz w:val="24"/>
        </w:rPr>
        <w:t>existing</w:t>
      </w:r>
      <w:r>
        <w:rPr>
          <w:spacing w:val="-1"/>
          <w:sz w:val="24"/>
        </w:rPr>
        <w:t xml:space="preserve"> </w:t>
      </w:r>
      <w:r>
        <w:rPr>
          <w:sz w:val="24"/>
        </w:rPr>
        <w:t>affordability</w:t>
      </w:r>
      <w:r>
        <w:rPr>
          <w:spacing w:val="-2"/>
          <w:sz w:val="24"/>
        </w:rPr>
        <w:t xml:space="preserve"> </w:t>
      </w:r>
      <w:r>
        <w:rPr>
          <w:sz w:val="24"/>
        </w:rPr>
        <w:t>controls</w:t>
      </w:r>
      <w:r>
        <w:rPr>
          <w:spacing w:val="-1"/>
          <w:sz w:val="24"/>
        </w:rPr>
        <w:t xml:space="preserve"> </w:t>
      </w:r>
      <w:r>
        <w:rPr>
          <w:sz w:val="24"/>
        </w:rPr>
        <w:t>(0.5</w:t>
      </w:r>
      <w:r>
        <w:rPr>
          <w:spacing w:val="-1"/>
          <w:sz w:val="24"/>
        </w:rPr>
        <w:t xml:space="preserve"> </w:t>
      </w:r>
      <w:r>
        <w:rPr>
          <w:sz w:val="24"/>
        </w:rPr>
        <w:t>to</w:t>
      </w:r>
      <w:r>
        <w:rPr>
          <w:spacing w:val="-5"/>
          <w:sz w:val="24"/>
        </w:rPr>
        <w:t xml:space="preserve"> </w:t>
      </w:r>
      <w:r>
        <w:rPr>
          <w:sz w:val="24"/>
        </w:rPr>
        <w:t>1</w:t>
      </w:r>
      <w:r>
        <w:rPr>
          <w:spacing w:val="-1"/>
          <w:sz w:val="24"/>
        </w:rPr>
        <w:t xml:space="preserve"> </w:t>
      </w:r>
      <w:r>
        <w:rPr>
          <w:spacing w:val="-2"/>
          <w:sz w:val="24"/>
        </w:rPr>
        <w:t>bonus)</w:t>
      </w:r>
    </w:p>
    <w:p w14:paraId="55639EA1" w14:textId="77777777" w:rsidR="00B95583" w:rsidRDefault="0099648A">
      <w:pPr>
        <w:pStyle w:val="ListParagraph"/>
        <w:numPr>
          <w:ilvl w:val="1"/>
          <w:numId w:val="2"/>
        </w:numPr>
        <w:tabs>
          <w:tab w:val="left" w:pos="840"/>
        </w:tabs>
        <w:spacing w:before="24" w:line="256" w:lineRule="auto"/>
        <w:ind w:right="121"/>
        <w:rPr>
          <w:sz w:val="24"/>
        </w:rPr>
      </w:pPr>
      <w:r>
        <w:rPr>
          <w:sz w:val="24"/>
        </w:rPr>
        <w:t xml:space="preserve">100% affordable developments that received a municipal contribution (1 to 1 </w:t>
      </w:r>
      <w:r>
        <w:rPr>
          <w:spacing w:val="-2"/>
          <w:sz w:val="24"/>
        </w:rPr>
        <w:t>bonus)</w:t>
      </w:r>
    </w:p>
    <w:p w14:paraId="69C97D06" w14:textId="77777777" w:rsidR="00B95583" w:rsidRDefault="0099648A">
      <w:pPr>
        <w:pStyle w:val="ListParagraph"/>
        <w:numPr>
          <w:ilvl w:val="1"/>
          <w:numId w:val="2"/>
        </w:numPr>
        <w:tabs>
          <w:tab w:val="left" w:pos="839"/>
        </w:tabs>
        <w:spacing w:before="4"/>
        <w:ind w:left="839" w:hanging="719"/>
        <w:rPr>
          <w:sz w:val="24"/>
        </w:rPr>
      </w:pPr>
      <w:r>
        <w:rPr>
          <w:sz w:val="24"/>
        </w:rPr>
        <w:t>Development</w:t>
      </w:r>
      <w:r>
        <w:rPr>
          <w:spacing w:val="-5"/>
          <w:sz w:val="24"/>
        </w:rPr>
        <w:t xml:space="preserve"> </w:t>
      </w:r>
      <w:r>
        <w:rPr>
          <w:sz w:val="24"/>
        </w:rPr>
        <w:t>of</w:t>
      </w:r>
      <w:r>
        <w:rPr>
          <w:spacing w:val="-3"/>
          <w:sz w:val="24"/>
        </w:rPr>
        <w:t xml:space="preserve"> </w:t>
      </w:r>
      <w:r>
        <w:rPr>
          <w:sz w:val="24"/>
        </w:rPr>
        <w:t>excess</w:t>
      </w:r>
      <w:r>
        <w:rPr>
          <w:spacing w:val="-3"/>
          <w:sz w:val="24"/>
        </w:rPr>
        <w:t xml:space="preserve"> </w:t>
      </w:r>
      <w:r>
        <w:rPr>
          <w:sz w:val="24"/>
        </w:rPr>
        <w:t>very</w:t>
      </w:r>
      <w:r>
        <w:rPr>
          <w:spacing w:val="-1"/>
          <w:sz w:val="24"/>
        </w:rPr>
        <w:t xml:space="preserve"> </w:t>
      </w:r>
      <w:r>
        <w:rPr>
          <w:sz w:val="24"/>
        </w:rPr>
        <w:t>low-income</w:t>
      </w:r>
      <w:r>
        <w:rPr>
          <w:spacing w:val="-2"/>
          <w:sz w:val="24"/>
        </w:rPr>
        <w:t xml:space="preserve"> </w:t>
      </w:r>
      <w:r>
        <w:rPr>
          <w:sz w:val="24"/>
        </w:rPr>
        <w:t>credits</w:t>
      </w:r>
      <w:r>
        <w:rPr>
          <w:spacing w:val="-3"/>
          <w:sz w:val="24"/>
        </w:rPr>
        <w:t xml:space="preserve"> </w:t>
      </w:r>
      <w:r>
        <w:rPr>
          <w:sz w:val="24"/>
        </w:rPr>
        <w:t>above</w:t>
      </w:r>
      <w:r>
        <w:rPr>
          <w:spacing w:val="-2"/>
          <w:sz w:val="24"/>
        </w:rPr>
        <w:t xml:space="preserve"> </w:t>
      </w:r>
      <w:r>
        <w:rPr>
          <w:sz w:val="24"/>
        </w:rPr>
        <w:t>13%</w:t>
      </w:r>
      <w:r>
        <w:rPr>
          <w:spacing w:val="-3"/>
          <w:sz w:val="24"/>
        </w:rPr>
        <w:t xml:space="preserve"> </w:t>
      </w:r>
      <w:r>
        <w:rPr>
          <w:sz w:val="24"/>
        </w:rPr>
        <w:t>(0.5</w:t>
      </w:r>
      <w:r>
        <w:rPr>
          <w:spacing w:val="-1"/>
          <w:sz w:val="24"/>
        </w:rPr>
        <w:t xml:space="preserve"> </w:t>
      </w:r>
      <w:r>
        <w:rPr>
          <w:sz w:val="24"/>
        </w:rPr>
        <w:t>to</w:t>
      </w:r>
      <w:r>
        <w:rPr>
          <w:spacing w:val="-4"/>
          <w:sz w:val="24"/>
        </w:rPr>
        <w:t xml:space="preserve"> </w:t>
      </w:r>
      <w:r>
        <w:rPr>
          <w:sz w:val="24"/>
        </w:rPr>
        <w:t>1</w:t>
      </w:r>
      <w:r>
        <w:rPr>
          <w:spacing w:val="-1"/>
          <w:sz w:val="24"/>
        </w:rPr>
        <w:t xml:space="preserve"> </w:t>
      </w:r>
      <w:r>
        <w:rPr>
          <w:spacing w:val="-2"/>
          <w:sz w:val="24"/>
        </w:rPr>
        <w:t>bonus)</w:t>
      </w:r>
    </w:p>
    <w:p w14:paraId="71CE36A7" w14:textId="77777777" w:rsidR="00B95583" w:rsidRDefault="0099648A">
      <w:pPr>
        <w:pStyle w:val="ListParagraph"/>
        <w:numPr>
          <w:ilvl w:val="1"/>
          <w:numId w:val="2"/>
        </w:numPr>
        <w:tabs>
          <w:tab w:val="left" w:pos="839"/>
        </w:tabs>
        <w:spacing w:before="23"/>
        <w:ind w:left="839" w:hanging="719"/>
        <w:rPr>
          <w:sz w:val="24"/>
        </w:rPr>
      </w:pPr>
      <w:r>
        <w:rPr>
          <w:sz w:val="24"/>
        </w:rPr>
        <w:t>Market</w:t>
      </w:r>
      <w:r>
        <w:rPr>
          <w:spacing w:val="-3"/>
          <w:sz w:val="24"/>
        </w:rPr>
        <w:t xml:space="preserve"> </w:t>
      </w:r>
      <w:r>
        <w:rPr>
          <w:sz w:val="24"/>
        </w:rPr>
        <w:t>to</w:t>
      </w:r>
      <w:r>
        <w:rPr>
          <w:spacing w:val="-3"/>
          <w:sz w:val="24"/>
        </w:rPr>
        <w:t xml:space="preserve"> </w:t>
      </w:r>
      <w:r>
        <w:rPr>
          <w:sz w:val="24"/>
        </w:rPr>
        <w:t>affordable conversion</w:t>
      </w:r>
      <w:r>
        <w:rPr>
          <w:spacing w:val="-1"/>
          <w:sz w:val="24"/>
        </w:rPr>
        <w:t xml:space="preserve"> </w:t>
      </w:r>
      <w:r>
        <w:rPr>
          <w:sz w:val="24"/>
        </w:rPr>
        <w:t>(1</w:t>
      </w:r>
      <w:r>
        <w:rPr>
          <w:spacing w:val="-1"/>
          <w:sz w:val="24"/>
        </w:rPr>
        <w:t xml:space="preserve"> </w:t>
      </w:r>
      <w:r>
        <w:rPr>
          <w:sz w:val="24"/>
        </w:rPr>
        <w:t>to</w:t>
      </w:r>
      <w:r>
        <w:rPr>
          <w:spacing w:val="-3"/>
          <w:sz w:val="24"/>
        </w:rPr>
        <w:t xml:space="preserve"> </w:t>
      </w:r>
      <w:r>
        <w:rPr>
          <w:sz w:val="24"/>
        </w:rPr>
        <w:t>1</w:t>
      </w:r>
      <w:r>
        <w:rPr>
          <w:spacing w:val="-1"/>
          <w:sz w:val="24"/>
        </w:rPr>
        <w:t xml:space="preserve"> </w:t>
      </w:r>
      <w:r>
        <w:rPr>
          <w:spacing w:val="-2"/>
          <w:sz w:val="24"/>
        </w:rPr>
        <w:t>bonus)</w:t>
      </w:r>
    </w:p>
    <w:p w14:paraId="0F139EF4" w14:textId="77777777" w:rsidR="00B95583" w:rsidRDefault="00B95583">
      <w:pPr>
        <w:pStyle w:val="BodyText"/>
        <w:spacing w:before="9"/>
        <w:ind w:left="0"/>
        <w:jc w:val="left"/>
        <w:rPr>
          <w:sz w:val="27"/>
        </w:rPr>
      </w:pPr>
    </w:p>
    <w:p w14:paraId="7EC5BAE6" w14:textId="55B32D94" w:rsidR="00B95583" w:rsidRDefault="0099648A">
      <w:pPr>
        <w:pStyle w:val="BodyText"/>
        <w:spacing w:line="480" w:lineRule="auto"/>
        <w:ind w:right="112"/>
      </w:pPr>
      <w:r>
        <w:t>This modification of the credit system provides a significant shift in incentives for redevelopment. First, the elimination of the 1 to 1 bonus credit for rentals and replacement with a targeted credit system that predominantly limits half of the available bonus credits means that significantly more units must actually be developed</w:t>
      </w:r>
      <w:r>
        <w:rPr>
          <w:spacing w:val="-13"/>
        </w:rPr>
        <w:t xml:space="preserve"> </w:t>
      </w:r>
      <w:r>
        <w:t>before</w:t>
      </w:r>
      <w:r>
        <w:rPr>
          <w:spacing w:val="-10"/>
        </w:rPr>
        <w:t xml:space="preserve"> </w:t>
      </w:r>
      <w:r>
        <w:t>reaching</w:t>
      </w:r>
      <w:r>
        <w:rPr>
          <w:spacing w:val="-12"/>
        </w:rPr>
        <w:t xml:space="preserve"> </w:t>
      </w:r>
      <w:r>
        <w:t>the</w:t>
      </w:r>
      <w:r>
        <w:rPr>
          <w:spacing w:val="-12"/>
        </w:rPr>
        <w:t xml:space="preserve"> </w:t>
      </w:r>
      <w:r>
        <w:t>25%</w:t>
      </w:r>
      <w:r>
        <w:rPr>
          <w:spacing w:val="-12"/>
        </w:rPr>
        <w:t xml:space="preserve"> </w:t>
      </w:r>
      <w:r>
        <w:t>cap.</w:t>
      </w:r>
      <w:r>
        <w:rPr>
          <w:spacing w:val="-12"/>
        </w:rPr>
        <w:t xml:space="preserve"> </w:t>
      </w:r>
      <w:r>
        <w:t>Second,</w:t>
      </w:r>
      <w:r>
        <w:rPr>
          <w:spacing w:val="-12"/>
        </w:rPr>
        <w:t xml:space="preserve"> </w:t>
      </w:r>
      <w:r>
        <w:t>various</w:t>
      </w:r>
      <w:r>
        <w:rPr>
          <w:spacing w:val="-12"/>
        </w:rPr>
        <w:t xml:space="preserve"> </w:t>
      </w:r>
      <w:r>
        <w:t>categories</w:t>
      </w:r>
      <w:r>
        <w:rPr>
          <w:spacing w:val="-12"/>
        </w:rPr>
        <w:t xml:space="preserve"> </w:t>
      </w:r>
      <w:r>
        <w:t>for</w:t>
      </w:r>
      <w:r>
        <w:rPr>
          <w:spacing w:val="-12"/>
        </w:rPr>
        <w:t xml:space="preserve"> </w:t>
      </w:r>
      <w:r>
        <w:t>bonus</w:t>
      </w:r>
      <w:r>
        <w:rPr>
          <w:spacing w:val="-11"/>
        </w:rPr>
        <w:t xml:space="preserve"> </w:t>
      </w:r>
      <w:r>
        <w:t>credits incentivize redevelopment. For example, the conversion on non-residential to residential and the development of affordable units within 0.5 miles of transit hubs targets</w:t>
      </w:r>
      <w:r>
        <w:rPr>
          <w:spacing w:val="-1"/>
        </w:rPr>
        <w:t xml:space="preserve"> </w:t>
      </w:r>
      <w:r>
        <w:t>developed, but underutilized</w:t>
      </w:r>
      <w:r>
        <w:rPr>
          <w:spacing w:val="-2"/>
        </w:rPr>
        <w:t xml:space="preserve"> </w:t>
      </w:r>
      <w:r>
        <w:t>properties. The</w:t>
      </w:r>
      <w:r>
        <w:rPr>
          <w:spacing w:val="-1"/>
        </w:rPr>
        <w:t xml:space="preserve"> </w:t>
      </w:r>
      <w:r>
        <w:t>credits</w:t>
      </w:r>
      <w:r>
        <w:rPr>
          <w:spacing w:val="-1"/>
        </w:rPr>
        <w:t xml:space="preserve"> </w:t>
      </w:r>
      <w:r>
        <w:t>available</w:t>
      </w:r>
      <w:r>
        <w:rPr>
          <w:spacing w:val="-1"/>
        </w:rPr>
        <w:t xml:space="preserve"> </w:t>
      </w:r>
      <w:r>
        <w:t>to</w:t>
      </w:r>
      <w:r>
        <w:rPr>
          <w:spacing w:val="-1"/>
        </w:rPr>
        <w:t xml:space="preserve"> </w:t>
      </w:r>
      <w:r>
        <w:t>municipally sponsored projects incentivize public expenditures, which can often be facilitated through the added powers afforded municipalities under the Local Redevelopment and Housing Law.</w:t>
      </w:r>
    </w:p>
    <w:p w14:paraId="44CD2191" w14:textId="77777777" w:rsidR="00B95583" w:rsidRDefault="00B95583">
      <w:pPr>
        <w:spacing w:line="480" w:lineRule="auto"/>
      </w:pPr>
    </w:p>
    <w:p w14:paraId="37FDCA47" w14:textId="77777777" w:rsidR="00372C0D" w:rsidRDefault="00372C0D">
      <w:pPr>
        <w:spacing w:line="480" w:lineRule="auto"/>
      </w:pPr>
    </w:p>
    <w:p w14:paraId="017A1EA4" w14:textId="77777777" w:rsidR="00C11E29" w:rsidRDefault="00C11E29" w:rsidP="00C11E29">
      <w:pPr>
        <w:pStyle w:val="Heading1"/>
        <w:numPr>
          <w:ilvl w:val="0"/>
          <w:numId w:val="2"/>
        </w:numPr>
        <w:tabs>
          <w:tab w:val="left" w:pos="657"/>
        </w:tabs>
        <w:jc w:val="left"/>
      </w:pPr>
      <w:r>
        <w:rPr>
          <w:spacing w:val="-2"/>
        </w:rPr>
        <w:t>Conclusion</w:t>
      </w:r>
    </w:p>
    <w:p w14:paraId="44F62350" w14:textId="77777777" w:rsidR="00C11E29" w:rsidRDefault="00C11E29" w:rsidP="00C11E29">
      <w:pPr>
        <w:pStyle w:val="BodyText"/>
        <w:spacing w:before="3"/>
        <w:ind w:left="0"/>
        <w:jc w:val="left"/>
        <w:rPr>
          <w:b/>
          <w:sz w:val="37"/>
        </w:rPr>
      </w:pPr>
    </w:p>
    <w:p w14:paraId="31B59493" w14:textId="77777777" w:rsidR="00C11E29" w:rsidRDefault="00C11E29" w:rsidP="00C11E29">
      <w:pPr>
        <w:pStyle w:val="BodyText"/>
        <w:spacing w:line="480" w:lineRule="auto"/>
        <w:ind w:left="119" w:right="113" w:firstLine="720"/>
      </w:pPr>
      <w:r>
        <w:t>For</w:t>
      </w:r>
      <w:r>
        <w:rPr>
          <w:spacing w:val="-10"/>
        </w:rPr>
        <w:t xml:space="preserve"> </w:t>
      </w:r>
      <w:r>
        <w:t>municipalities</w:t>
      </w:r>
      <w:r>
        <w:rPr>
          <w:spacing w:val="-9"/>
        </w:rPr>
        <w:t xml:space="preserve"> </w:t>
      </w:r>
      <w:r>
        <w:t>seeking</w:t>
      </w:r>
      <w:r>
        <w:rPr>
          <w:spacing w:val="-8"/>
        </w:rPr>
        <w:t xml:space="preserve"> </w:t>
      </w:r>
      <w:r>
        <w:t>to</w:t>
      </w:r>
      <w:r>
        <w:rPr>
          <w:spacing w:val="-11"/>
        </w:rPr>
        <w:t xml:space="preserve"> </w:t>
      </w:r>
      <w:r>
        <w:t>comply</w:t>
      </w:r>
      <w:r>
        <w:rPr>
          <w:spacing w:val="-10"/>
        </w:rPr>
        <w:t xml:space="preserve"> </w:t>
      </w:r>
      <w:r>
        <w:t>with</w:t>
      </w:r>
      <w:r>
        <w:rPr>
          <w:spacing w:val="-11"/>
        </w:rPr>
        <w:t xml:space="preserve"> </w:t>
      </w:r>
      <w:r>
        <w:t>their</w:t>
      </w:r>
      <w:r>
        <w:rPr>
          <w:spacing w:val="-10"/>
        </w:rPr>
        <w:t xml:space="preserve"> </w:t>
      </w:r>
      <w:r>
        <w:t>Mount</w:t>
      </w:r>
      <w:r>
        <w:rPr>
          <w:spacing w:val="-9"/>
        </w:rPr>
        <w:t xml:space="preserve"> </w:t>
      </w:r>
      <w:r>
        <w:t>Laurel</w:t>
      </w:r>
      <w:r>
        <w:rPr>
          <w:spacing w:val="-8"/>
        </w:rPr>
        <w:t xml:space="preserve"> </w:t>
      </w:r>
      <w:r>
        <w:t>obligations,</w:t>
      </w:r>
      <w:r>
        <w:rPr>
          <w:spacing w:val="-11"/>
        </w:rPr>
        <w:t xml:space="preserve"> </w:t>
      </w:r>
      <w:r>
        <w:t>and thus be immune from builder’s remedy lawsuits, A-4 entirely reshapes both the process</w:t>
      </w:r>
      <w:r>
        <w:rPr>
          <w:spacing w:val="-8"/>
        </w:rPr>
        <w:t xml:space="preserve"> </w:t>
      </w:r>
      <w:r>
        <w:t>and</w:t>
      </w:r>
      <w:r>
        <w:rPr>
          <w:spacing w:val="-9"/>
        </w:rPr>
        <w:t xml:space="preserve"> </w:t>
      </w:r>
      <w:r>
        <w:t>the</w:t>
      </w:r>
      <w:r>
        <w:rPr>
          <w:spacing w:val="-8"/>
        </w:rPr>
        <w:t xml:space="preserve"> </w:t>
      </w:r>
      <w:r>
        <w:t>substantive</w:t>
      </w:r>
      <w:r>
        <w:rPr>
          <w:spacing w:val="-10"/>
        </w:rPr>
        <w:t xml:space="preserve"> </w:t>
      </w:r>
      <w:r>
        <w:t>requirements</w:t>
      </w:r>
      <w:r>
        <w:rPr>
          <w:spacing w:val="-8"/>
        </w:rPr>
        <w:t xml:space="preserve"> </w:t>
      </w:r>
      <w:r>
        <w:t>for</w:t>
      </w:r>
      <w:r>
        <w:rPr>
          <w:spacing w:val="-9"/>
        </w:rPr>
        <w:t xml:space="preserve"> </w:t>
      </w:r>
      <w:r>
        <w:t>same.</w:t>
      </w:r>
      <w:r>
        <w:rPr>
          <w:spacing w:val="-7"/>
        </w:rPr>
        <w:t xml:space="preserve"> </w:t>
      </w:r>
      <w:r>
        <w:t>For</w:t>
      </w:r>
      <w:r>
        <w:rPr>
          <w:spacing w:val="-9"/>
        </w:rPr>
        <w:t xml:space="preserve"> </w:t>
      </w:r>
      <w:r>
        <w:t>developers</w:t>
      </w:r>
      <w:r>
        <w:rPr>
          <w:spacing w:val="-8"/>
        </w:rPr>
        <w:t xml:space="preserve"> </w:t>
      </w:r>
      <w:r>
        <w:t>that</w:t>
      </w:r>
      <w:r>
        <w:rPr>
          <w:spacing w:val="-8"/>
        </w:rPr>
        <w:t xml:space="preserve"> </w:t>
      </w:r>
      <w:r>
        <w:t>wish</w:t>
      </w:r>
      <w:r>
        <w:rPr>
          <w:spacing w:val="-8"/>
        </w:rPr>
        <w:t xml:space="preserve"> </w:t>
      </w:r>
      <w:r>
        <w:t>to</w:t>
      </w:r>
      <w:r>
        <w:rPr>
          <w:spacing w:val="-10"/>
        </w:rPr>
        <w:t xml:space="preserve"> </w:t>
      </w:r>
      <w:r>
        <w:t>have their properties considered for inclusion in a municipal HEFSP, A-4 effectively requires that those discussions commence as soon as possible. As set forth above, municipalities that will be participating in the Program have strict deadlines which are not that far in the future. Any developer that wishes to develop, or redevelop, a parcel as part of the 4</w:t>
      </w:r>
      <w:proofErr w:type="spellStart"/>
      <w:r>
        <w:rPr>
          <w:position w:val="6"/>
          <w:sz w:val="16"/>
        </w:rPr>
        <w:t>th</w:t>
      </w:r>
      <w:proofErr w:type="spellEnd"/>
      <w:r>
        <w:rPr>
          <w:spacing w:val="39"/>
          <w:position w:val="6"/>
          <w:sz w:val="16"/>
        </w:rPr>
        <w:t xml:space="preserve"> </w:t>
      </w:r>
      <w:r>
        <w:t>round, should begin talking to their municipality now and request that the parcel be included in the municipality’s HEFSP.</w:t>
      </w:r>
    </w:p>
    <w:p w14:paraId="732FA0A0" w14:textId="34AFE1D9" w:rsidR="00B95583" w:rsidRDefault="00B95583" w:rsidP="00C11E29">
      <w:pPr>
        <w:pStyle w:val="Heading1"/>
        <w:tabs>
          <w:tab w:val="left" w:pos="657"/>
        </w:tabs>
        <w:ind w:left="1200" w:firstLine="0"/>
      </w:pPr>
    </w:p>
    <w:sectPr w:rsidR="00B95583">
      <w:pgSz w:w="12240" w:h="15840"/>
      <w:pgMar w:top="1360" w:right="1320" w:bottom="1260" w:left="1320" w:header="0" w:footer="106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E37FCC" w14:textId="77777777" w:rsidR="00BE67A9" w:rsidRDefault="00BE67A9">
      <w:r>
        <w:separator/>
      </w:r>
    </w:p>
  </w:endnote>
  <w:endnote w:type="continuationSeparator" w:id="0">
    <w:p w14:paraId="5B94F300" w14:textId="77777777" w:rsidR="00BE67A9" w:rsidRDefault="00BE67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entury Schoolbook">
    <w:altName w:val="Century Schoolbook"/>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4FA1F1" w14:textId="77777777" w:rsidR="00B95583" w:rsidRDefault="0099648A">
    <w:pPr>
      <w:pStyle w:val="BodyText"/>
      <w:spacing w:line="14" w:lineRule="auto"/>
      <w:ind w:left="0"/>
      <w:jc w:val="left"/>
      <w:rPr>
        <w:sz w:val="20"/>
      </w:rPr>
    </w:pPr>
    <w:r>
      <w:rPr>
        <w:noProof/>
      </w:rPr>
      <mc:AlternateContent>
        <mc:Choice Requires="wps">
          <w:drawing>
            <wp:anchor distT="0" distB="0" distL="0" distR="0" simplePos="0" relativeHeight="487516160" behindDoc="1" locked="0" layoutInCell="1" allowOverlap="1" wp14:anchorId="5CA845C2" wp14:editId="3E88FF90">
              <wp:simplePos x="0" y="0"/>
              <wp:positionH relativeFrom="page">
                <wp:posOffset>3771900</wp:posOffset>
              </wp:positionH>
              <wp:positionV relativeFrom="page">
                <wp:posOffset>9243906</wp:posOffset>
              </wp:positionV>
              <wp:extent cx="241300" cy="19431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28C11A38" w14:textId="77777777" w:rsidR="00B95583" w:rsidRDefault="0099648A">
                          <w:pPr>
                            <w:pStyle w:val="BodyText"/>
                            <w:spacing w:before="10"/>
                            <w:ind w:left="60"/>
                            <w:jc w:val="left"/>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Pr>
                              <w:rFonts w:ascii="Times New Roman"/>
                              <w:spacing w:val="-5"/>
                            </w:rPr>
                            <w:t>10</w:t>
                          </w:r>
                          <w:r>
                            <w:rPr>
                              <w:rFonts w:ascii="Times New Roman"/>
                              <w:spacing w:val="-5"/>
                            </w:rPr>
                            <w:fldChar w:fldCharType="end"/>
                          </w:r>
                        </w:p>
                      </w:txbxContent>
                    </wps:txbx>
                    <wps:bodyPr wrap="square" lIns="0" tIns="0" rIns="0" bIns="0" rtlCol="0">
                      <a:noAutofit/>
                    </wps:bodyPr>
                  </wps:wsp>
                </a:graphicData>
              </a:graphic>
            </wp:anchor>
          </w:drawing>
        </mc:Choice>
        <mc:Fallback>
          <w:pict>
            <v:shapetype w14:anchorId="5CA845C2" id="_x0000_t202" coordsize="21600,21600" o:spt="202" path="m,l,21600r21600,l21600,xe">
              <v:stroke joinstyle="miter"/>
              <v:path gradientshapeok="t" o:connecttype="rect"/>
            </v:shapetype>
            <v:shape id="Textbox 3" o:spid="_x0000_s1026" type="#_x0000_t202" style="position:absolute;margin-left:297pt;margin-top:727.85pt;width:19pt;height:15.3pt;z-index:-15800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" filled="f" stroked="f">
              <v:textbox inset="0,0,0,0">
                <w:txbxContent>
                  <w:p w14:paraId="28C11A38" w14:textId="77777777" w:rsidR="00B95583" w:rsidRDefault="0099648A">
                    <w:pPr>
                      <w:pStyle w:val="BodyText"/>
                      <w:spacing w:before="10"/>
                      <w:ind w:left="60"/>
                      <w:jc w:val="left"/>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Pr>
                        <w:rFonts w:ascii="Times New Roman"/>
                        <w:spacing w:val="-5"/>
                      </w:rPr>
                      <w:t>10</w:t>
                    </w:r>
                    <w:r>
                      <w:rPr>
                        <w:rFonts w:ascii="Times New Roman"/>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475D7D" w14:textId="77777777" w:rsidR="00BE67A9" w:rsidRDefault="00BE67A9">
      <w:r>
        <w:separator/>
      </w:r>
    </w:p>
  </w:footnote>
  <w:footnote w:type="continuationSeparator" w:id="0">
    <w:p w14:paraId="17A614D2" w14:textId="77777777" w:rsidR="00BE67A9" w:rsidRDefault="00BE67A9">
      <w:r>
        <w:continuationSeparator/>
      </w:r>
    </w:p>
  </w:footnote>
  <w:footnote w:id="1">
    <w:p w14:paraId="5CEDB94B" w14:textId="77777777" w:rsidR="008F7E12" w:rsidRDefault="008F7E12" w:rsidP="008F7E12">
      <w:pPr>
        <w:pStyle w:val="FootnoteText"/>
      </w:pPr>
      <w:r>
        <w:rPr>
          <w:rStyle w:val="FootnoteReference"/>
        </w:rPr>
        <w:footnoteRef/>
      </w:r>
      <w:r>
        <w:t xml:space="preserve"> </w:t>
      </w:r>
      <w:hyperlink r:id="rId1" w:history="1">
        <w:r w:rsidRPr="00B677C6">
          <w:rPr>
            <w:rStyle w:val="Hyperlink"/>
          </w:rPr>
          <w:t>https://www.nj.gov/dca/dlps/4th_Round_Numbers.shtml</w:t>
        </w:r>
      </w:hyperlink>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8362EE4"/>
    <w:multiLevelType w:val="hybridMultilevel"/>
    <w:tmpl w:val="D6261D18"/>
    <w:lvl w:ilvl="0" w:tplc="FFFFFFFF">
      <w:start w:val="1"/>
      <w:numFmt w:val="upperRoman"/>
      <w:lvlText w:val="%1."/>
      <w:lvlJc w:val="left"/>
      <w:pPr>
        <w:ind w:left="1200" w:hanging="720"/>
        <w:jc w:val="right"/>
      </w:pPr>
      <w:rPr>
        <w:rFonts w:ascii="Century" w:eastAsia="Century" w:hAnsi="Century" w:cs="Century" w:hint="default"/>
        <w:b/>
        <w:bCs/>
        <w:i w:val="0"/>
        <w:iCs w:val="0"/>
        <w:spacing w:val="0"/>
        <w:w w:val="99"/>
        <w:sz w:val="24"/>
        <w:szCs w:val="24"/>
        <w:lang w:val="en-US" w:eastAsia="en-US" w:bidi="ar-SA"/>
      </w:rPr>
    </w:lvl>
    <w:lvl w:ilvl="1" w:tplc="FFFFFFFF">
      <w:start w:val="1"/>
      <w:numFmt w:val="decimal"/>
      <w:lvlText w:val="%2."/>
      <w:lvlJc w:val="left"/>
      <w:pPr>
        <w:ind w:left="840" w:hanging="720"/>
      </w:pPr>
      <w:rPr>
        <w:rFonts w:ascii="Century" w:eastAsia="Century" w:hAnsi="Century" w:cs="Century" w:hint="default"/>
        <w:b w:val="0"/>
        <w:bCs w:val="0"/>
        <w:i w:val="0"/>
        <w:iCs w:val="0"/>
        <w:spacing w:val="0"/>
        <w:w w:val="100"/>
        <w:sz w:val="24"/>
        <w:szCs w:val="24"/>
        <w:lang w:val="en-US" w:eastAsia="en-US" w:bidi="ar-SA"/>
      </w:rPr>
    </w:lvl>
    <w:lvl w:ilvl="2" w:tplc="FFFFFFFF">
      <w:numFmt w:val="bullet"/>
      <w:lvlText w:val="•"/>
      <w:lvlJc w:val="left"/>
      <w:pPr>
        <w:ind w:left="2133" w:hanging="720"/>
      </w:pPr>
      <w:rPr>
        <w:rFonts w:hint="default"/>
        <w:lang w:val="en-US" w:eastAsia="en-US" w:bidi="ar-SA"/>
      </w:rPr>
    </w:lvl>
    <w:lvl w:ilvl="3" w:tplc="FFFFFFFF">
      <w:numFmt w:val="bullet"/>
      <w:lvlText w:val="•"/>
      <w:lvlJc w:val="left"/>
      <w:pPr>
        <w:ind w:left="3066" w:hanging="720"/>
      </w:pPr>
      <w:rPr>
        <w:rFonts w:hint="default"/>
        <w:lang w:val="en-US" w:eastAsia="en-US" w:bidi="ar-SA"/>
      </w:rPr>
    </w:lvl>
    <w:lvl w:ilvl="4" w:tplc="FFFFFFFF">
      <w:numFmt w:val="bullet"/>
      <w:lvlText w:val="•"/>
      <w:lvlJc w:val="left"/>
      <w:pPr>
        <w:ind w:left="4000" w:hanging="720"/>
      </w:pPr>
      <w:rPr>
        <w:rFonts w:hint="default"/>
        <w:lang w:val="en-US" w:eastAsia="en-US" w:bidi="ar-SA"/>
      </w:rPr>
    </w:lvl>
    <w:lvl w:ilvl="5" w:tplc="FFFFFFFF">
      <w:numFmt w:val="bullet"/>
      <w:lvlText w:val="•"/>
      <w:lvlJc w:val="left"/>
      <w:pPr>
        <w:ind w:left="4933" w:hanging="720"/>
      </w:pPr>
      <w:rPr>
        <w:rFonts w:hint="default"/>
        <w:lang w:val="en-US" w:eastAsia="en-US" w:bidi="ar-SA"/>
      </w:rPr>
    </w:lvl>
    <w:lvl w:ilvl="6" w:tplc="FFFFFFFF">
      <w:numFmt w:val="bullet"/>
      <w:lvlText w:val="•"/>
      <w:lvlJc w:val="left"/>
      <w:pPr>
        <w:ind w:left="5866" w:hanging="720"/>
      </w:pPr>
      <w:rPr>
        <w:rFonts w:hint="default"/>
        <w:lang w:val="en-US" w:eastAsia="en-US" w:bidi="ar-SA"/>
      </w:rPr>
    </w:lvl>
    <w:lvl w:ilvl="7" w:tplc="FFFFFFFF">
      <w:numFmt w:val="bullet"/>
      <w:lvlText w:val="•"/>
      <w:lvlJc w:val="left"/>
      <w:pPr>
        <w:ind w:left="6800" w:hanging="720"/>
      </w:pPr>
      <w:rPr>
        <w:rFonts w:hint="default"/>
        <w:lang w:val="en-US" w:eastAsia="en-US" w:bidi="ar-SA"/>
      </w:rPr>
    </w:lvl>
    <w:lvl w:ilvl="8" w:tplc="FFFFFFFF">
      <w:numFmt w:val="bullet"/>
      <w:lvlText w:val="•"/>
      <w:lvlJc w:val="left"/>
      <w:pPr>
        <w:ind w:left="7733" w:hanging="720"/>
      </w:pPr>
      <w:rPr>
        <w:rFonts w:hint="default"/>
        <w:lang w:val="en-US" w:eastAsia="en-US" w:bidi="ar-SA"/>
      </w:rPr>
    </w:lvl>
  </w:abstractNum>
  <w:abstractNum w:abstractNumId="1" w15:restartNumberingAfterBreak="0">
    <w:nsid w:val="4EE910FB"/>
    <w:multiLevelType w:val="hybridMultilevel"/>
    <w:tmpl w:val="2286F3C2"/>
    <w:lvl w:ilvl="0" w:tplc="F426E344">
      <w:start w:val="1"/>
      <w:numFmt w:val="decimal"/>
      <w:lvlText w:val="%1."/>
      <w:lvlJc w:val="left"/>
      <w:pPr>
        <w:ind w:left="120" w:hanging="341"/>
      </w:pPr>
      <w:rPr>
        <w:rFonts w:ascii="Century" w:eastAsia="Century" w:hAnsi="Century" w:cs="Century" w:hint="default"/>
        <w:b w:val="0"/>
        <w:bCs w:val="0"/>
        <w:i w:val="0"/>
        <w:iCs w:val="0"/>
        <w:spacing w:val="0"/>
        <w:w w:val="100"/>
        <w:sz w:val="24"/>
        <w:szCs w:val="24"/>
        <w:lang w:val="en-US" w:eastAsia="en-US" w:bidi="ar-SA"/>
      </w:rPr>
    </w:lvl>
    <w:lvl w:ilvl="1" w:tplc="23A25772">
      <w:numFmt w:val="bullet"/>
      <w:lvlText w:val="•"/>
      <w:lvlJc w:val="left"/>
      <w:pPr>
        <w:ind w:left="1068" w:hanging="341"/>
      </w:pPr>
      <w:rPr>
        <w:rFonts w:hint="default"/>
        <w:lang w:val="en-US" w:eastAsia="en-US" w:bidi="ar-SA"/>
      </w:rPr>
    </w:lvl>
    <w:lvl w:ilvl="2" w:tplc="2926ECE8">
      <w:numFmt w:val="bullet"/>
      <w:lvlText w:val="•"/>
      <w:lvlJc w:val="left"/>
      <w:pPr>
        <w:ind w:left="2016" w:hanging="341"/>
      </w:pPr>
      <w:rPr>
        <w:rFonts w:hint="default"/>
        <w:lang w:val="en-US" w:eastAsia="en-US" w:bidi="ar-SA"/>
      </w:rPr>
    </w:lvl>
    <w:lvl w:ilvl="3" w:tplc="0366B8F2">
      <w:numFmt w:val="bullet"/>
      <w:lvlText w:val="•"/>
      <w:lvlJc w:val="left"/>
      <w:pPr>
        <w:ind w:left="2964" w:hanging="341"/>
      </w:pPr>
      <w:rPr>
        <w:rFonts w:hint="default"/>
        <w:lang w:val="en-US" w:eastAsia="en-US" w:bidi="ar-SA"/>
      </w:rPr>
    </w:lvl>
    <w:lvl w:ilvl="4" w:tplc="92B6E9F8">
      <w:numFmt w:val="bullet"/>
      <w:lvlText w:val="•"/>
      <w:lvlJc w:val="left"/>
      <w:pPr>
        <w:ind w:left="3912" w:hanging="341"/>
      </w:pPr>
      <w:rPr>
        <w:rFonts w:hint="default"/>
        <w:lang w:val="en-US" w:eastAsia="en-US" w:bidi="ar-SA"/>
      </w:rPr>
    </w:lvl>
    <w:lvl w:ilvl="5" w:tplc="5ADABDB2">
      <w:numFmt w:val="bullet"/>
      <w:lvlText w:val="•"/>
      <w:lvlJc w:val="left"/>
      <w:pPr>
        <w:ind w:left="4860" w:hanging="341"/>
      </w:pPr>
      <w:rPr>
        <w:rFonts w:hint="default"/>
        <w:lang w:val="en-US" w:eastAsia="en-US" w:bidi="ar-SA"/>
      </w:rPr>
    </w:lvl>
    <w:lvl w:ilvl="6" w:tplc="F3129450">
      <w:numFmt w:val="bullet"/>
      <w:lvlText w:val="•"/>
      <w:lvlJc w:val="left"/>
      <w:pPr>
        <w:ind w:left="5808" w:hanging="341"/>
      </w:pPr>
      <w:rPr>
        <w:rFonts w:hint="default"/>
        <w:lang w:val="en-US" w:eastAsia="en-US" w:bidi="ar-SA"/>
      </w:rPr>
    </w:lvl>
    <w:lvl w:ilvl="7" w:tplc="4E64E66C">
      <w:numFmt w:val="bullet"/>
      <w:lvlText w:val="•"/>
      <w:lvlJc w:val="left"/>
      <w:pPr>
        <w:ind w:left="6756" w:hanging="341"/>
      </w:pPr>
      <w:rPr>
        <w:rFonts w:hint="default"/>
        <w:lang w:val="en-US" w:eastAsia="en-US" w:bidi="ar-SA"/>
      </w:rPr>
    </w:lvl>
    <w:lvl w:ilvl="8" w:tplc="40E01E06">
      <w:numFmt w:val="bullet"/>
      <w:lvlText w:val="•"/>
      <w:lvlJc w:val="left"/>
      <w:pPr>
        <w:ind w:left="7704" w:hanging="341"/>
      </w:pPr>
      <w:rPr>
        <w:rFonts w:hint="default"/>
        <w:lang w:val="en-US" w:eastAsia="en-US" w:bidi="ar-SA"/>
      </w:rPr>
    </w:lvl>
  </w:abstractNum>
  <w:abstractNum w:abstractNumId="2" w15:restartNumberingAfterBreak="0">
    <w:nsid w:val="76BA051A"/>
    <w:multiLevelType w:val="hybridMultilevel"/>
    <w:tmpl w:val="FBF221EC"/>
    <w:lvl w:ilvl="0" w:tplc="86F26C94">
      <w:start w:val="1"/>
      <w:numFmt w:val="upperRoman"/>
      <w:lvlText w:val="%1."/>
      <w:lvlJc w:val="left"/>
      <w:pPr>
        <w:ind w:left="1200" w:hanging="720"/>
        <w:jc w:val="right"/>
      </w:pPr>
      <w:rPr>
        <w:rFonts w:ascii="Century" w:eastAsia="Century" w:hAnsi="Century" w:cs="Century" w:hint="default"/>
        <w:b/>
        <w:bCs/>
        <w:i w:val="0"/>
        <w:iCs w:val="0"/>
        <w:spacing w:val="0"/>
        <w:w w:val="99"/>
        <w:sz w:val="24"/>
        <w:szCs w:val="24"/>
        <w:lang w:val="en-US" w:eastAsia="en-US" w:bidi="ar-SA"/>
      </w:rPr>
    </w:lvl>
    <w:lvl w:ilvl="1" w:tplc="E25A38C2">
      <w:start w:val="1"/>
      <w:numFmt w:val="decimal"/>
      <w:lvlText w:val="%2."/>
      <w:lvlJc w:val="left"/>
      <w:pPr>
        <w:ind w:left="840" w:hanging="720"/>
      </w:pPr>
      <w:rPr>
        <w:rFonts w:ascii="Century" w:eastAsia="Century" w:hAnsi="Century" w:cs="Century" w:hint="default"/>
        <w:b w:val="0"/>
        <w:bCs w:val="0"/>
        <w:i w:val="0"/>
        <w:iCs w:val="0"/>
        <w:spacing w:val="0"/>
        <w:w w:val="100"/>
        <w:sz w:val="24"/>
        <w:szCs w:val="24"/>
        <w:lang w:val="en-US" w:eastAsia="en-US" w:bidi="ar-SA"/>
      </w:rPr>
    </w:lvl>
    <w:lvl w:ilvl="2" w:tplc="D75A2BE0">
      <w:numFmt w:val="bullet"/>
      <w:lvlText w:val="•"/>
      <w:lvlJc w:val="left"/>
      <w:pPr>
        <w:ind w:left="2133" w:hanging="720"/>
      </w:pPr>
      <w:rPr>
        <w:rFonts w:hint="default"/>
        <w:lang w:val="en-US" w:eastAsia="en-US" w:bidi="ar-SA"/>
      </w:rPr>
    </w:lvl>
    <w:lvl w:ilvl="3" w:tplc="B6824296">
      <w:numFmt w:val="bullet"/>
      <w:lvlText w:val="•"/>
      <w:lvlJc w:val="left"/>
      <w:pPr>
        <w:ind w:left="3066" w:hanging="720"/>
      </w:pPr>
      <w:rPr>
        <w:rFonts w:hint="default"/>
        <w:lang w:val="en-US" w:eastAsia="en-US" w:bidi="ar-SA"/>
      </w:rPr>
    </w:lvl>
    <w:lvl w:ilvl="4" w:tplc="F17A5AC6">
      <w:numFmt w:val="bullet"/>
      <w:lvlText w:val="•"/>
      <w:lvlJc w:val="left"/>
      <w:pPr>
        <w:ind w:left="4000" w:hanging="720"/>
      </w:pPr>
      <w:rPr>
        <w:rFonts w:hint="default"/>
        <w:lang w:val="en-US" w:eastAsia="en-US" w:bidi="ar-SA"/>
      </w:rPr>
    </w:lvl>
    <w:lvl w:ilvl="5" w:tplc="C3C4B772">
      <w:numFmt w:val="bullet"/>
      <w:lvlText w:val="•"/>
      <w:lvlJc w:val="left"/>
      <w:pPr>
        <w:ind w:left="4933" w:hanging="720"/>
      </w:pPr>
      <w:rPr>
        <w:rFonts w:hint="default"/>
        <w:lang w:val="en-US" w:eastAsia="en-US" w:bidi="ar-SA"/>
      </w:rPr>
    </w:lvl>
    <w:lvl w:ilvl="6" w:tplc="4094C02C">
      <w:numFmt w:val="bullet"/>
      <w:lvlText w:val="•"/>
      <w:lvlJc w:val="left"/>
      <w:pPr>
        <w:ind w:left="5866" w:hanging="720"/>
      </w:pPr>
      <w:rPr>
        <w:rFonts w:hint="default"/>
        <w:lang w:val="en-US" w:eastAsia="en-US" w:bidi="ar-SA"/>
      </w:rPr>
    </w:lvl>
    <w:lvl w:ilvl="7" w:tplc="EFEA674A">
      <w:numFmt w:val="bullet"/>
      <w:lvlText w:val="•"/>
      <w:lvlJc w:val="left"/>
      <w:pPr>
        <w:ind w:left="6800" w:hanging="720"/>
      </w:pPr>
      <w:rPr>
        <w:rFonts w:hint="default"/>
        <w:lang w:val="en-US" w:eastAsia="en-US" w:bidi="ar-SA"/>
      </w:rPr>
    </w:lvl>
    <w:lvl w:ilvl="8" w:tplc="01E29520">
      <w:numFmt w:val="bullet"/>
      <w:lvlText w:val="•"/>
      <w:lvlJc w:val="left"/>
      <w:pPr>
        <w:ind w:left="7733" w:hanging="720"/>
      </w:pPr>
      <w:rPr>
        <w:rFonts w:hint="default"/>
        <w:lang w:val="en-US" w:eastAsia="en-US" w:bidi="ar-SA"/>
      </w:rPr>
    </w:lvl>
  </w:abstractNum>
  <w:num w:numId="1" w16cid:durableId="1630361435">
    <w:abstractNumId w:val="1"/>
  </w:num>
  <w:num w:numId="2" w16cid:durableId="1226918434">
    <w:abstractNumId w:val="2"/>
  </w:num>
  <w:num w:numId="3" w16cid:durableId="6058935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5583"/>
    <w:rsid w:val="001E0989"/>
    <w:rsid w:val="001E4AD4"/>
    <w:rsid w:val="00295D2E"/>
    <w:rsid w:val="002F1436"/>
    <w:rsid w:val="00372C0D"/>
    <w:rsid w:val="004B4DD1"/>
    <w:rsid w:val="004E2F5C"/>
    <w:rsid w:val="005969B6"/>
    <w:rsid w:val="008F7E12"/>
    <w:rsid w:val="0099648A"/>
    <w:rsid w:val="009A5310"/>
    <w:rsid w:val="00AF1F87"/>
    <w:rsid w:val="00B95583"/>
    <w:rsid w:val="00BE67A9"/>
    <w:rsid w:val="00C11E29"/>
    <w:rsid w:val="00C14EBD"/>
    <w:rsid w:val="00D14C1B"/>
    <w:rsid w:val="00E93460"/>
    <w:rsid w:val="00F81014"/>
    <w:rsid w:val="00FA6D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3FCC30"/>
  <w15:docId w15:val="{5D849A39-A040-4C11-843A-6312213AD3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entury" w:eastAsia="Century" w:hAnsi="Century" w:cs="Century"/>
    </w:rPr>
  </w:style>
  <w:style w:type="paragraph" w:styleId="Heading1">
    <w:name w:val="heading 1"/>
    <w:basedOn w:val="Normal"/>
    <w:link w:val="Heading1Char"/>
    <w:uiPriority w:val="9"/>
    <w:qFormat/>
    <w:pPr>
      <w:spacing w:before="81"/>
      <w:ind w:left="448" w:hanging="719"/>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120"/>
      <w:jc w:val="both"/>
    </w:pPr>
    <w:rPr>
      <w:sz w:val="24"/>
      <w:szCs w:val="24"/>
    </w:rPr>
  </w:style>
  <w:style w:type="paragraph" w:styleId="Title">
    <w:name w:val="Title"/>
    <w:basedOn w:val="Normal"/>
    <w:uiPriority w:val="10"/>
    <w:qFormat/>
    <w:pPr>
      <w:spacing w:before="81"/>
      <w:ind w:left="845" w:right="847"/>
      <w:jc w:val="center"/>
    </w:pPr>
    <w:rPr>
      <w:rFonts w:ascii="Century Schoolbook" w:eastAsia="Century Schoolbook" w:hAnsi="Century Schoolbook" w:cs="Century Schoolbook"/>
      <w:b/>
      <w:bCs/>
      <w:sz w:val="32"/>
      <w:szCs w:val="32"/>
    </w:rPr>
  </w:style>
  <w:style w:type="paragraph" w:styleId="ListParagraph">
    <w:name w:val="List Paragraph"/>
    <w:basedOn w:val="Normal"/>
    <w:uiPriority w:val="1"/>
    <w:qFormat/>
    <w:pPr>
      <w:ind w:left="839" w:hanging="719"/>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C11E29"/>
    <w:pPr>
      <w:tabs>
        <w:tab w:val="center" w:pos="4680"/>
        <w:tab w:val="right" w:pos="9360"/>
      </w:tabs>
    </w:pPr>
  </w:style>
  <w:style w:type="character" w:customStyle="1" w:styleId="HeaderChar">
    <w:name w:val="Header Char"/>
    <w:basedOn w:val="DefaultParagraphFont"/>
    <w:link w:val="Header"/>
    <w:uiPriority w:val="99"/>
    <w:rsid w:val="00C11E29"/>
    <w:rPr>
      <w:rFonts w:ascii="Century" w:eastAsia="Century" w:hAnsi="Century" w:cs="Century"/>
    </w:rPr>
  </w:style>
  <w:style w:type="paragraph" w:styleId="Footer">
    <w:name w:val="footer"/>
    <w:basedOn w:val="Normal"/>
    <w:link w:val="FooterChar"/>
    <w:uiPriority w:val="99"/>
    <w:unhideWhenUsed/>
    <w:rsid w:val="00C11E29"/>
    <w:pPr>
      <w:tabs>
        <w:tab w:val="center" w:pos="4680"/>
        <w:tab w:val="right" w:pos="9360"/>
      </w:tabs>
    </w:pPr>
  </w:style>
  <w:style w:type="character" w:customStyle="1" w:styleId="FooterChar">
    <w:name w:val="Footer Char"/>
    <w:basedOn w:val="DefaultParagraphFont"/>
    <w:link w:val="Footer"/>
    <w:uiPriority w:val="99"/>
    <w:rsid w:val="00C11E29"/>
    <w:rPr>
      <w:rFonts w:ascii="Century" w:eastAsia="Century" w:hAnsi="Century" w:cs="Century"/>
    </w:rPr>
  </w:style>
  <w:style w:type="character" w:customStyle="1" w:styleId="Heading1Char">
    <w:name w:val="Heading 1 Char"/>
    <w:basedOn w:val="DefaultParagraphFont"/>
    <w:link w:val="Heading1"/>
    <w:uiPriority w:val="9"/>
    <w:rsid w:val="00C11E29"/>
    <w:rPr>
      <w:rFonts w:ascii="Century" w:eastAsia="Century" w:hAnsi="Century" w:cs="Century"/>
      <w:b/>
      <w:bCs/>
      <w:sz w:val="24"/>
      <w:szCs w:val="24"/>
    </w:rPr>
  </w:style>
  <w:style w:type="character" w:customStyle="1" w:styleId="BodyTextChar">
    <w:name w:val="Body Text Char"/>
    <w:basedOn w:val="DefaultParagraphFont"/>
    <w:link w:val="BodyText"/>
    <w:uiPriority w:val="1"/>
    <w:rsid w:val="00C11E29"/>
    <w:rPr>
      <w:rFonts w:ascii="Century" w:eastAsia="Century" w:hAnsi="Century" w:cs="Century"/>
      <w:sz w:val="24"/>
      <w:szCs w:val="24"/>
    </w:rPr>
  </w:style>
  <w:style w:type="paragraph" w:styleId="FootnoteText">
    <w:name w:val="footnote text"/>
    <w:basedOn w:val="Normal"/>
    <w:link w:val="FootnoteTextChar"/>
    <w:uiPriority w:val="99"/>
    <w:semiHidden/>
    <w:unhideWhenUsed/>
    <w:rsid w:val="002F1436"/>
    <w:rPr>
      <w:sz w:val="20"/>
      <w:szCs w:val="20"/>
    </w:rPr>
  </w:style>
  <w:style w:type="character" w:customStyle="1" w:styleId="FootnoteTextChar">
    <w:name w:val="Footnote Text Char"/>
    <w:basedOn w:val="DefaultParagraphFont"/>
    <w:link w:val="FootnoteText"/>
    <w:uiPriority w:val="99"/>
    <w:semiHidden/>
    <w:rsid w:val="002F1436"/>
    <w:rPr>
      <w:rFonts w:ascii="Century" w:eastAsia="Century" w:hAnsi="Century" w:cs="Century"/>
      <w:sz w:val="20"/>
      <w:szCs w:val="20"/>
    </w:rPr>
  </w:style>
  <w:style w:type="character" w:styleId="FootnoteReference">
    <w:name w:val="footnote reference"/>
    <w:basedOn w:val="DefaultParagraphFont"/>
    <w:uiPriority w:val="99"/>
    <w:semiHidden/>
    <w:unhideWhenUsed/>
    <w:rsid w:val="002F1436"/>
    <w:rPr>
      <w:vertAlign w:val="superscript"/>
    </w:rPr>
  </w:style>
  <w:style w:type="character" w:styleId="Hyperlink">
    <w:name w:val="Hyperlink"/>
    <w:basedOn w:val="DefaultParagraphFont"/>
    <w:uiPriority w:val="99"/>
    <w:unhideWhenUsed/>
    <w:rsid w:val="002F1436"/>
    <w:rPr>
      <w:color w:val="0000FF" w:themeColor="hyperlink"/>
      <w:u w:val="single"/>
    </w:rPr>
  </w:style>
  <w:style w:type="character" w:styleId="UnresolvedMention">
    <w:name w:val="Unresolved Mention"/>
    <w:basedOn w:val="DefaultParagraphFont"/>
    <w:uiPriority w:val="99"/>
    <w:semiHidden/>
    <w:unhideWhenUsed/>
    <w:rsid w:val="002F1436"/>
    <w:rPr>
      <w:color w:val="605E5C"/>
      <w:shd w:val="clear" w:color="auto" w:fill="E1DFDD"/>
    </w:rPr>
  </w:style>
  <w:style w:type="paragraph" w:styleId="Revision">
    <w:name w:val="Revision"/>
    <w:hidden/>
    <w:uiPriority w:val="99"/>
    <w:semiHidden/>
    <w:rsid w:val="008F7E12"/>
    <w:pPr>
      <w:widowControl/>
      <w:autoSpaceDE/>
      <w:autoSpaceDN/>
    </w:pPr>
    <w:rPr>
      <w:rFonts w:ascii="Century" w:eastAsia="Century" w:hAnsi="Century" w:cs="Century"/>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www.pricemeese.com/"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nj.gov/dca/dlps/4th_Round_Numbers.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759D1F061529E49B4C7AFC66367CE6B" ma:contentTypeVersion="4" ma:contentTypeDescription="Create a new document." ma:contentTypeScope="" ma:versionID="2836f359715e3f001a57af5fed61e97e">
  <xsd:schema xmlns:xsd="http://www.w3.org/2001/XMLSchema" xmlns:xs="http://www.w3.org/2001/XMLSchema" xmlns:p="http://schemas.microsoft.com/office/2006/metadata/properties" xmlns:ns3="2072a050-c788-45ae-b071-06726fe4649a" targetNamespace="http://schemas.microsoft.com/office/2006/metadata/properties" ma:root="true" ma:fieldsID="1323beaa4ef5b703feb4b0f44bd67f04" ns3:_="">
    <xsd:import namespace="2072a050-c788-45ae-b071-06726fe4649a"/>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72a050-c788-45ae-b071-06726fe4649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52E2263-1E64-4B8C-AFC7-E437566ABB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72a050-c788-45ae-b071-06726fe464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DCC69B6-9B4B-44FC-B40D-2EB484587E8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5F5E104-0BC3-45B7-A1D3-8534736225D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2848</Words>
  <Characters>16238</Characters>
  <Application>Microsoft Office Word</Application>
  <DocSecurity>4</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Edward Purcell</dc:creator>
  <dc:description/>
  <cp:lastModifiedBy>Edward Purcell</cp:lastModifiedBy>
  <cp:revision>2</cp:revision>
  <dcterms:created xsi:type="dcterms:W3CDTF">2024-10-21T15:52:00Z</dcterms:created>
  <dcterms:modified xsi:type="dcterms:W3CDTF">2024-10-21T15:52:00Z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2024-06-17T00:00:00Z</vt:filetime>
  </property>
  <property fmtid="{D5CDD505-2E9C-101B-9397-08002B2CF9AE}" pid="3" name="Creator">
    <vt:lpwstr>Acrobat PDFMaker 23 for Word</vt:lpwstr>
  </property>
  <property fmtid="{D5CDD505-2E9C-101B-9397-08002B2CF9AE}" pid="4" name="LastSaved">
    <vt:filetime>2024-06-18T00:00:00Z</vt:filetime>
  </property>
  <property fmtid="{D5CDD505-2E9C-101B-9397-08002B2CF9AE}" pid="5" name="Producer">
    <vt:lpwstr>Adobe PDF Library 23.3.233</vt:lpwstr>
  </property>
  <property fmtid="{D5CDD505-2E9C-101B-9397-08002B2CF9AE}" pid="6" name="SourceModified">
    <vt:lpwstr>D:20240617200100</vt:lpwstr>
  </property>
  <property fmtid="{D5CDD505-2E9C-101B-9397-08002B2CF9AE}" pid="7" name="ContentTypeId">
    <vt:lpwstr>0x010100F759D1F061529E49B4C7AFC66367CE6B</vt:lpwstr>
  </property>
</Properties>
</file>